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6DFA9" w14:textId="29C8D8A3" w:rsidR="00E85096" w:rsidRPr="00B535CF" w:rsidRDefault="00617DD7" w:rsidP="00675084">
      <w:pPr>
        <w:jc w:val="center"/>
        <w:rPr>
          <w:rFonts w:ascii="Arial" w:hAnsi="Arial" w:cs="Arial"/>
          <w:b/>
          <w:sz w:val="36"/>
          <w:szCs w:val="36"/>
        </w:rPr>
      </w:pPr>
      <w:r w:rsidRPr="00B535CF">
        <w:rPr>
          <w:rFonts w:ascii="Arial" w:hAnsi="Arial" w:cs="Arial"/>
          <w:b/>
          <w:sz w:val="36"/>
          <w:szCs w:val="36"/>
        </w:rPr>
        <w:t>Access to Deceased Patient</w:t>
      </w:r>
      <w:r w:rsidR="00130102">
        <w:rPr>
          <w:rFonts w:ascii="Arial" w:hAnsi="Arial" w:cs="Arial"/>
          <w:b/>
          <w:sz w:val="36"/>
          <w:szCs w:val="36"/>
        </w:rPr>
        <w:t>s’</w:t>
      </w:r>
      <w:r w:rsidRPr="00B535CF">
        <w:rPr>
          <w:rFonts w:ascii="Arial" w:hAnsi="Arial" w:cs="Arial"/>
          <w:b/>
          <w:sz w:val="36"/>
          <w:szCs w:val="36"/>
        </w:rPr>
        <w:t xml:space="preserve"> Records Policy</w:t>
      </w:r>
    </w:p>
    <w:p w14:paraId="34CF158F" w14:textId="77777777" w:rsidR="00E85096" w:rsidRPr="00B535CF" w:rsidRDefault="00E85096">
      <w:pPr>
        <w:rPr>
          <w:rFonts w:ascii="Arial" w:hAnsi="Arial" w:cs="Arial"/>
          <w:sz w:val="28"/>
          <w:szCs w:val="28"/>
        </w:rPr>
      </w:pPr>
    </w:p>
    <w:tbl>
      <w:tblPr>
        <w:tblW w:w="10861"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1"/>
        <w:gridCol w:w="2010"/>
        <w:gridCol w:w="2228"/>
        <w:gridCol w:w="2104"/>
        <w:gridCol w:w="3278"/>
      </w:tblGrid>
      <w:tr w:rsidR="00675084" w:rsidRPr="00B535CF" w14:paraId="522235B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B9B71F8" w14:textId="77777777" w:rsidR="00675084" w:rsidRPr="00B535CF" w:rsidRDefault="00675084" w:rsidP="00515291">
            <w:pPr>
              <w:jc w:val="center"/>
              <w:rPr>
                <w:rFonts w:ascii="Arial" w:eastAsia="Arial" w:hAnsi="Arial" w:cs="Arial"/>
                <w:b/>
                <w:spacing w:val="-2"/>
                <w:sz w:val="26"/>
                <w:szCs w:val="26"/>
              </w:rPr>
            </w:pPr>
            <w:r w:rsidRPr="00B535CF">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5702B3C" w14:textId="77777777" w:rsidR="00675084" w:rsidRPr="00B535CF" w:rsidRDefault="00675084" w:rsidP="00515291">
            <w:pPr>
              <w:jc w:val="center"/>
              <w:rPr>
                <w:rFonts w:ascii="Arial" w:eastAsia="Arial" w:hAnsi="Arial" w:cs="Arial"/>
                <w:b/>
                <w:spacing w:val="-2"/>
                <w:sz w:val="26"/>
                <w:szCs w:val="26"/>
              </w:rPr>
            </w:pPr>
            <w:r w:rsidRPr="00B535CF">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0B376542" w14:textId="77777777" w:rsidR="00675084" w:rsidRPr="00B535CF" w:rsidRDefault="00675084" w:rsidP="00515291">
            <w:pPr>
              <w:jc w:val="center"/>
              <w:rPr>
                <w:rFonts w:ascii="Arial" w:eastAsia="Arial" w:hAnsi="Arial" w:cs="Arial"/>
                <w:b/>
                <w:spacing w:val="-2"/>
                <w:sz w:val="26"/>
                <w:szCs w:val="26"/>
              </w:rPr>
            </w:pPr>
            <w:r w:rsidRPr="00B535CF">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7343AE3" w14:textId="77777777" w:rsidR="00675084" w:rsidRPr="00B535CF" w:rsidRDefault="00675084" w:rsidP="00515291">
            <w:pPr>
              <w:jc w:val="center"/>
              <w:rPr>
                <w:rFonts w:ascii="Arial" w:eastAsia="Arial" w:hAnsi="Arial" w:cs="Arial"/>
                <w:b/>
                <w:spacing w:val="-2"/>
                <w:sz w:val="26"/>
                <w:szCs w:val="26"/>
              </w:rPr>
            </w:pPr>
            <w:r w:rsidRPr="00B535CF">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59C41338" w14:textId="77777777" w:rsidR="00675084" w:rsidRPr="00B535CF" w:rsidRDefault="00675084" w:rsidP="00515291">
            <w:pPr>
              <w:jc w:val="center"/>
              <w:rPr>
                <w:rFonts w:ascii="Arial" w:eastAsia="Arial" w:hAnsi="Arial" w:cs="Arial"/>
                <w:b/>
                <w:spacing w:val="-2"/>
                <w:sz w:val="26"/>
                <w:szCs w:val="26"/>
              </w:rPr>
            </w:pPr>
            <w:r w:rsidRPr="00B535CF">
              <w:rPr>
                <w:rFonts w:ascii="Arial" w:eastAsia="Arial" w:hAnsi="Arial" w:cs="Arial"/>
                <w:b/>
                <w:spacing w:val="-2"/>
                <w:sz w:val="26"/>
                <w:szCs w:val="26"/>
              </w:rPr>
              <w:t>Comments:</w:t>
            </w:r>
          </w:p>
        </w:tc>
      </w:tr>
      <w:tr w:rsidR="00675084" w:rsidRPr="00B535CF" w14:paraId="75B3BBF8"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hideMark/>
          </w:tcPr>
          <w:p w14:paraId="0574912B" w14:textId="55ACDD67" w:rsidR="00675084" w:rsidRPr="00B535CF" w:rsidRDefault="004303FD" w:rsidP="00515291">
            <w:pPr>
              <w:jc w:val="center"/>
              <w:rPr>
                <w:rFonts w:eastAsia="Arial" w:cs="Arial"/>
                <w:spacing w:val="-2"/>
                <w:sz w:val="26"/>
                <w:szCs w:val="26"/>
              </w:rPr>
            </w:pPr>
            <w:r>
              <w:rPr>
                <w:rFonts w:eastAsia="Arial" w:cs="Arial"/>
                <w:spacing w:val="-2"/>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63F1DB9C" w14:textId="499FAC7D" w:rsidR="00675084" w:rsidRPr="00B535CF" w:rsidRDefault="004303FD" w:rsidP="00515291">
            <w:pPr>
              <w:rPr>
                <w:rFonts w:eastAsia="Arial" w:cs="Arial"/>
                <w:spacing w:val="-2"/>
                <w:sz w:val="26"/>
                <w:szCs w:val="26"/>
              </w:rPr>
            </w:pPr>
            <w:r>
              <w:rPr>
                <w:rFonts w:eastAsia="Arial" w:cs="Arial"/>
                <w:spacing w:val="-2"/>
                <w:sz w:val="26"/>
                <w:szCs w:val="26"/>
              </w:rPr>
              <w:t>June 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5082EA54" w14:textId="77777777" w:rsidR="00675084" w:rsidRPr="00B535CF" w:rsidRDefault="00675084" w:rsidP="00515291">
            <w:pPr>
              <w:rPr>
                <w:rFonts w:eastAsia="Arial" w:cs="Arial"/>
                <w:spacing w:val="-2"/>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49647F9E" w14:textId="1615A676" w:rsidR="00675084" w:rsidRPr="00B535CF" w:rsidRDefault="004303FD" w:rsidP="00515291">
            <w:pPr>
              <w:rPr>
                <w:rFonts w:eastAsia="Arial" w:cs="Arial"/>
                <w:spacing w:val="-2"/>
                <w:sz w:val="26"/>
                <w:szCs w:val="26"/>
              </w:rPr>
            </w:pPr>
            <w:r>
              <w:rPr>
                <w:rFonts w:eastAsia="Arial" w:cs="Arial"/>
                <w:spacing w:val="-2"/>
                <w:sz w:val="26"/>
                <w:szCs w:val="26"/>
              </w:rPr>
              <w:t>AJH</w:t>
            </w: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2F80A7D7" w14:textId="77777777" w:rsidR="00675084" w:rsidRPr="00B535CF" w:rsidRDefault="00675084" w:rsidP="00515291">
            <w:pPr>
              <w:rPr>
                <w:sz w:val="26"/>
                <w:szCs w:val="26"/>
              </w:rPr>
            </w:pPr>
          </w:p>
        </w:tc>
      </w:tr>
      <w:tr w:rsidR="00675084" w:rsidRPr="00B535CF" w14:paraId="7C35111B"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0B3F0345" w14:textId="77777777" w:rsidR="00675084" w:rsidRPr="00B535CF"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0B6D3062" w14:textId="77777777" w:rsidR="00675084" w:rsidRPr="00B535CF"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E5C98F" w14:textId="77777777" w:rsidR="00675084" w:rsidRPr="00B535CF"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872685C" w14:textId="77777777" w:rsidR="00675084" w:rsidRPr="00B535CF"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81A838B" w14:textId="77777777" w:rsidR="00675084" w:rsidRPr="00B535CF" w:rsidRDefault="00675084" w:rsidP="00515291">
            <w:pPr>
              <w:rPr>
                <w:sz w:val="26"/>
                <w:szCs w:val="26"/>
              </w:rPr>
            </w:pPr>
          </w:p>
        </w:tc>
      </w:tr>
      <w:tr w:rsidR="00675084" w:rsidRPr="00B535CF" w14:paraId="0E2C595C" w14:textId="77777777" w:rsidTr="002638C3">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1ADE400F" w14:textId="77777777" w:rsidR="00675084" w:rsidRPr="00B535CF"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B4C2DAE" w14:textId="77777777" w:rsidR="00675084" w:rsidRPr="00B535CF"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48148D3" w14:textId="77777777" w:rsidR="00675084" w:rsidRPr="00B535CF"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ED38D9C" w14:textId="77777777" w:rsidR="00675084" w:rsidRPr="00B535CF"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4EC7409" w14:textId="77777777" w:rsidR="00675084" w:rsidRPr="00B535CF" w:rsidRDefault="00675084" w:rsidP="00515291">
            <w:pPr>
              <w:rPr>
                <w:sz w:val="26"/>
                <w:szCs w:val="26"/>
              </w:rPr>
            </w:pPr>
          </w:p>
        </w:tc>
      </w:tr>
      <w:tr w:rsidR="00675084" w:rsidRPr="00B535CF" w14:paraId="12E8CE9E" w14:textId="77777777" w:rsidTr="00515291">
        <w:trPr>
          <w:jc w:val="center"/>
        </w:trPr>
        <w:tc>
          <w:tcPr>
            <w:tcW w:w="1096" w:type="dxa"/>
            <w:tcBorders>
              <w:top w:val="single" w:sz="4" w:space="0" w:color="333333"/>
              <w:left w:val="single" w:sz="4" w:space="0" w:color="333333"/>
              <w:bottom w:val="single" w:sz="4" w:space="0" w:color="333333"/>
              <w:right w:val="single" w:sz="4" w:space="0" w:color="333333"/>
            </w:tcBorders>
            <w:shd w:val="clear" w:color="auto" w:fill="auto"/>
          </w:tcPr>
          <w:p w14:paraId="566CDAF7" w14:textId="77777777" w:rsidR="00675084" w:rsidRPr="00B535CF" w:rsidRDefault="00675084" w:rsidP="00515291">
            <w:pPr>
              <w:rPr>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29190694" w14:textId="77777777" w:rsidR="00675084" w:rsidRPr="00B535CF" w:rsidRDefault="00675084" w:rsidP="00515291">
            <w:pPr>
              <w:rPr>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401E353B" w14:textId="77777777" w:rsidR="00675084" w:rsidRPr="00B535CF" w:rsidRDefault="00675084" w:rsidP="00515291">
            <w:pPr>
              <w:rPr>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61ECEDA0" w14:textId="77777777" w:rsidR="00675084" w:rsidRPr="00B535CF" w:rsidRDefault="00675084" w:rsidP="00515291">
            <w:pPr>
              <w:rPr>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5965011E" w14:textId="77777777" w:rsidR="00675084" w:rsidRPr="00B535CF" w:rsidRDefault="00675084" w:rsidP="00515291">
            <w:pPr>
              <w:rPr>
                <w:sz w:val="26"/>
                <w:szCs w:val="26"/>
              </w:rPr>
            </w:pPr>
          </w:p>
        </w:tc>
      </w:tr>
    </w:tbl>
    <w:p w14:paraId="34A22122" w14:textId="77777777" w:rsidR="00E85096" w:rsidRPr="00B535CF" w:rsidRDefault="00E85096">
      <w:pPr>
        <w:rPr>
          <w:rFonts w:ascii="Arial" w:hAnsi="Arial" w:cs="Arial"/>
          <w:sz w:val="28"/>
          <w:szCs w:val="28"/>
        </w:rPr>
      </w:pPr>
    </w:p>
    <w:p w14:paraId="4ADDD4F7" w14:textId="33646BE7" w:rsidR="000858D5" w:rsidRPr="00B535CF" w:rsidRDefault="00D05574">
      <w:pPr>
        <w:rPr>
          <w:rFonts w:ascii="Arial" w:hAnsi="Arial" w:cs="Arial"/>
          <w:b/>
          <w:sz w:val="28"/>
          <w:szCs w:val="28"/>
        </w:rPr>
      </w:pPr>
      <w:r w:rsidRPr="00B535CF">
        <w:rPr>
          <w:rFonts w:ascii="Arial" w:hAnsi="Arial" w:cs="Arial"/>
          <w:b/>
          <w:sz w:val="28"/>
          <w:szCs w:val="28"/>
        </w:rPr>
        <w:t>Table of c</w:t>
      </w:r>
      <w:r w:rsidR="000858D5" w:rsidRPr="00B535CF">
        <w:rPr>
          <w:rFonts w:ascii="Arial" w:hAnsi="Arial" w:cs="Arial"/>
          <w:b/>
          <w:sz w:val="28"/>
          <w:szCs w:val="28"/>
        </w:rPr>
        <w:t>ontents</w:t>
      </w:r>
    </w:p>
    <w:p w14:paraId="603A490E" w14:textId="725E2F19" w:rsidR="002E54D4" w:rsidRDefault="00D85E4D">
      <w:pPr>
        <w:pStyle w:val="TOC1"/>
        <w:rPr>
          <w:rFonts w:asciiTheme="minorHAnsi" w:eastAsiaTheme="minorEastAsia" w:hAnsiTheme="minorHAnsi" w:cstheme="minorBidi"/>
          <w:b w:val="0"/>
          <w:bCs w:val="0"/>
          <w:sz w:val="22"/>
          <w:szCs w:val="22"/>
          <w:lang w:eastAsia="en-GB"/>
        </w:rPr>
      </w:pPr>
      <w:r w:rsidRPr="00B535CF">
        <w:rPr>
          <w:noProof w:val="0"/>
          <w:sz w:val="20"/>
          <w:szCs w:val="28"/>
        </w:rPr>
        <w:fldChar w:fldCharType="begin"/>
      </w:r>
      <w:r w:rsidRPr="00B535CF">
        <w:rPr>
          <w:noProof w:val="0"/>
          <w:sz w:val="20"/>
          <w:szCs w:val="28"/>
        </w:rPr>
        <w:instrText xml:space="preserve"> TOC \o "1-3" \h \z \u </w:instrText>
      </w:r>
      <w:r w:rsidRPr="00B535CF">
        <w:rPr>
          <w:noProof w:val="0"/>
          <w:sz w:val="20"/>
          <w:szCs w:val="28"/>
        </w:rPr>
        <w:fldChar w:fldCharType="separate"/>
      </w:r>
      <w:hyperlink w:anchor="_Toc101348250" w:history="1">
        <w:r w:rsidR="002E54D4" w:rsidRPr="00A96D8C">
          <w:rPr>
            <w:rStyle w:val="Hyperlink"/>
          </w:rPr>
          <w:t>1</w:t>
        </w:r>
        <w:r w:rsidR="002E54D4">
          <w:rPr>
            <w:rFonts w:asciiTheme="minorHAnsi" w:eastAsiaTheme="minorEastAsia" w:hAnsiTheme="minorHAnsi" w:cstheme="minorBidi"/>
            <w:b w:val="0"/>
            <w:bCs w:val="0"/>
            <w:sz w:val="22"/>
            <w:szCs w:val="22"/>
            <w:lang w:eastAsia="en-GB"/>
          </w:rPr>
          <w:tab/>
        </w:r>
        <w:r w:rsidR="002E54D4" w:rsidRPr="00A96D8C">
          <w:rPr>
            <w:rStyle w:val="Hyperlink"/>
          </w:rPr>
          <w:t>Introduction</w:t>
        </w:r>
        <w:r w:rsidR="002E54D4">
          <w:rPr>
            <w:webHidden/>
          </w:rPr>
          <w:tab/>
        </w:r>
        <w:r w:rsidR="002E54D4">
          <w:rPr>
            <w:webHidden/>
          </w:rPr>
          <w:fldChar w:fldCharType="begin"/>
        </w:r>
        <w:r w:rsidR="002E54D4">
          <w:rPr>
            <w:webHidden/>
          </w:rPr>
          <w:instrText xml:space="preserve"> PAGEREF _Toc101348250 \h </w:instrText>
        </w:r>
        <w:r w:rsidR="002E54D4">
          <w:rPr>
            <w:webHidden/>
          </w:rPr>
        </w:r>
        <w:r w:rsidR="002E54D4">
          <w:rPr>
            <w:webHidden/>
          </w:rPr>
          <w:fldChar w:fldCharType="separate"/>
        </w:r>
        <w:r w:rsidR="006A0B9B">
          <w:rPr>
            <w:webHidden/>
          </w:rPr>
          <w:t>2</w:t>
        </w:r>
        <w:r w:rsidR="002E54D4">
          <w:rPr>
            <w:webHidden/>
          </w:rPr>
          <w:fldChar w:fldCharType="end"/>
        </w:r>
      </w:hyperlink>
    </w:p>
    <w:p w14:paraId="37118ACF" w14:textId="7C1494A6" w:rsidR="002E54D4" w:rsidRDefault="004303FD">
      <w:pPr>
        <w:pStyle w:val="TOC2"/>
        <w:rPr>
          <w:rFonts w:asciiTheme="minorHAnsi" w:hAnsiTheme="minorHAnsi" w:cstheme="minorBidi"/>
          <w:b w:val="0"/>
          <w:bCs w:val="0"/>
          <w:noProof/>
          <w:sz w:val="22"/>
          <w:szCs w:val="22"/>
          <w:lang w:eastAsia="en-GB"/>
        </w:rPr>
      </w:pPr>
      <w:hyperlink w:anchor="_Toc101348251" w:history="1">
        <w:r w:rsidR="002E54D4" w:rsidRPr="00A96D8C">
          <w:rPr>
            <w:rStyle w:val="Hyperlink"/>
            <w:noProof/>
          </w:rPr>
          <w:t>1.1</w:t>
        </w:r>
        <w:r w:rsidR="002E54D4">
          <w:rPr>
            <w:rFonts w:asciiTheme="minorHAnsi" w:hAnsiTheme="minorHAnsi" w:cstheme="minorBidi"/>
            <w:b w:val="0"/>
            <w:bCs w:val="0"/>
            <w:noProof/>
            <w:sz w:val="22"/>
            <w:szCs w:val="22"/>
            <w:lang w:eastAsia="en-GB"/>
          </w:rPr>
          <w:tab/>
        </w:r>
        <w:r w:rsidR="002E54D4" w:rsidRPr="00A96D8C">
          <w:rPr>
            <w:rStyle w:val="Hyperlink"/>
            <w:noProof/>
          </w:rPr>
          <w:t>Guidance statement</w:t>
        </w:r>
        <w:r w:rsidR="002E54D4">
          <w:rPr>
            <w:noProof/>
            <w:webHidden/>
          </w:rPr>
          <w:tab/>
        </w:r>
        <w:r w:rsidR="002E54D4">
          <w:rPr>
            <w:noProof/>
            <w:webHidden/>
          </w:rPr>
          <w:fldChar w:fldCharType="begin"/>
        </w:r>
        <w:r w:rsidR="002E54D4">
          <w:rPr>
            <w:noProof/>
            <w:webHidden/>
          </w:rPr>
          <w:instrText xml:space="preserve"> PAGEREF _Toc101348251 \h </w:instrText>
        </w:r>
        <w:r w:rsidR="002E54D4">
          <w:rPr>
            <w:noProof/>
            <w:webHidden/>
          </w:rPr>
        </w:r>
        <w:r w:rsidR="002E54D4">
          <w:rPr>
            <w:noProof/>
            <w:webHidden/>
          </w:rPr>
          <w:fldChar w:fldCharType="separate"/>
        </w:r>
        <w:r w:rsidR="006A0B9B">
          <w:rPr>
            <w:noProof/>
            <w:webHidden/>
          </w:rPr>
          <w:t>2</w:t>
        </w:r>
        <w:r w:rsidR="002E54D4">
          <w:rPr>
            <w:noProof/>
            <w:webHidden/>
          </w:rPr>
          <w:fldChar w:fldCharType="end"/>
        </w:r>
      </w:hyperlink>
    </w:p>
    <w:p w14:paraId="3706F02E" w14:textId="6DA341BE" w:rsidR="002E54D4" w:rsidRDefault="004303FD">
      <w:pPr>
        <w:pStyle w:val="TOC2"/>
        <w:rPr>
          <w:rFonts w:asciiTheme="minorHAnsi" w:hAnsiTheme="minorHAnsi" w:cstheme="minorBidi"/>
          <w:b w:val="0"/>
          <w:bCs w:val="0"/>
          <w:noProof/>
          <w:sz w:val="22"/>
          <w:szCs w:val="22"/>
          <w:lang w:eastAsia="en-GB"/>
        </w:rPr>
      </w:pPr>
      <w:hyperlink w:anchor="_Toc101348252" w:history="1">
        <w:r w:rsidR="002E54D4" w:rsidRPr="00A96D8C">
          <w:rPr>
            <w:rStyle w:val="Hyperlink"/>
            <w:noProof/>
          </w:rPr>
          <w:t>1.2</w:t>
        </w:r>
        <w:r w:rsidR="002E54D4">
          <w:rPr>
            <w:rFonts w:asciiTheme="minorHAnsi" w:hAnsiTheme="minorHAnsi" w:cstheme="minorBidi"/>
            <w:b w:val="0"/>
            <w:bCs w:val="0"/>
            <w:noProof/>
            <w:sz w:val="22"/>
            <w:szCs w:val="22"/>
            <w:lang w:eastAsia="en-GB"/>
          </w:rPr>
          <w:tab/>
        </w:r>
        <w:r w:rsidR="002E54D4" w:rsidRPr="00A96D8C">
          <w:rPr>
            <w:rStyle w:val="Hyperlink"/>
            <w:noProof/>
          </w:rPr>
          <w:t>Status</w:t>
        </w:r>
        <w:r w:rsidR="002E54D4">
          <w:rPr>
            <w:noProof/>
            <w:webHidden/>
          </w:rPr>
          <w:tab/>
        </w:r>
        <w:r w:rsidR="002E54D4">
          <w:rPr>
            <w:noProof/>
            <w:webHidden/>
          </w:rPr>
          <w:fldChar w:fldCharType="begin"/>
        </w:r>
        <w:r w:rsidR="002E54D4">
          <w:rPr>
            <w:noProof/>
            <w:webHidden/>
          </w:rPr>
          <w:instrText xml:space="preserve"> PAGEREF _Toc101348252 \h </w:instrText>
        </w:r>
        <w:r w:rsidR="002E54D4">
          <w:rPr>
            <w:noProof/>
            <w:webHidden/>
          </w:rPr>
        </w:r>
        <w:r w:rsidR="002E54D4">
          <w:rPr>
            <w:noProof/>
            <w:webHidden/>
          </w:rPr>
          <w:fldChar w:fldCharType="separate"/>
        </w:r>
        <w:r w:rsidR="006A0B9B">
          <w:rPr>
            <w:noProof/>
            <w:webHidden/>
          </w:rPr>
          <w:t>2</w:t>
        </w:r>
        <w:r w:rsidR="002E54D4">
          <w:rPr>
            <w:noProof/>
            <w:webHidden/>
          </w:rPr>
          <w:fldChar w:fldCharType="end"/>
        </w:r>
      </w:hyperlink>
    </w:p>
    <w:p w14:paraId="2038EB68" w14:textId="307AD9EE" w:rsidR="002E54D4" w:rsidRDefault="004303FD">
      <w:pPr>
        <w:pStyle w:val="TOC2"/>
        <w:rPr>
          <w:rFonts w:asciiTheme="minorHAnsi" w:hAnsiTheme="minorHAnsi" w:cstheme="minorBidi"/>
          <w:b w:val="0"/>
          <w:bCs w:val="0"/>
          <w:noProof/>
          <w:sz w:val="22"/>
          <w:szCs w:val="22"/>
          <w:lang w:eastAsia="en-GB"/>
        </w:rPr>
      </w:pPr>
      <w:hyperlink w:anchor="_Toc101348253" w:history="1">
        <w:r w:rsidR="002E54D4" w:rsidRPr="00A96D8C">
          <w:rPr>
            <w:rStyle w:val="Hyperlink"/>
            <w:noProof/>
          </w:rPr>
          <w:t>1.3</w:t>
        </w:r>
        <w:r w:rsidR="002E54D4">
          <w:rPr>
            <w:rFonts w:asciiTheme="minorHAnsi" w:hAnsiTheme="minorHAnsi" w:cstheme="minorBidi"/>
            <w:b w:val="0"/>
            <w:bCs w:val="0"/>
            <w:noProof/>
            <w:sz w:val="22"/>
            <w:szCs w:val="22"/>
            <w:lang w:eastAsia="en-GB"/>
          </w:rPr>
          <w:tab/>
        </w:r>
        <w:r w:rsidR="002E54D4" w:rsidRPr="00A96D8C">
          <w:rPr>
            <w:rStyle w:val="Hyperlink"/>
            <w:noProof/>
          </w:rPr>
          <w:t>KLOE</w:t>
        </w:r>
        <w:r w:rsidR="002E54D4">
          <w:rPr>
            <w:noProof/>
            <w:webHidden/>
          </w:rPr>
          <w:tab/>
        </w:r>
        <w:r w:rsidR="002E54D4">
          <w:rPr>
            <w:noProof/>
            <w:webHidden/>
          </w:rPr>
          <w:fldChar w:fldCharType="begin"/>
        </w:r>
        <w:r w:rsidR="002E54D4">
          <w:rPr>
            <w:noProof/>
            <w:webHidden/>
          </w:rPr>
          <w:instrText xml:space="preserve"> PAGEREF _Toc101348253 \h </w:instrText>
        </w:r>
        <w:r w:rsidR="002E54D4">
          <w:rPr>
            <w:noProof/>
            <w:webHidden/>
          </w:rPr>
        </w:r>
        <w:r w:rsidR="002E54D4">
          <w:rPr>
            <w:noProof/>
            <w:webHidden/>
          </w:rPr>
          <w:fldChar w:fldCharType="separate"/>
        </w:r>
        <w:r w:rsidR="006A0B9B">
          <w:rPr>
            <w:noProof/>
            <w:webHidden/>
          </w:rPr>
          <w:t>2</w:t>
        </w:r>
        <w:r w:rsidR="002E54D4">
          <w:rPr>
            <w:noProof/>
            <w:webHidden/>
          </w:rPr>
          <w:fldChar w:fldCharType="end"/>
        </w:r>
      </w:hyperlink>
    </w:p>
    <w:p w14:paraId="42ABAE54" w14:textId="0A5CC4B9" w:rsidR="002E54D4" w:rsidRDefault="004303FD">
      <w:pPr>
        <w:pStyle w:val="TOC2"/>
        <w:rPr>
          <w:rFonts w:asciiTheme="minorHAnsi" w:hAnsiTheme="minorHAnsi" w:cstheme="minorBidi"/>
          <w:b w:val="0"/>
          <w:bCs w:val="0"/>
          <w:noProof/>
          <w:sz w:val="22"/>
          <w:szCs w:val="22"/>
          <w:lang w:eastAsia="en-GB"/>
        </w:rPr>
      </w:pPr>
      <w:hyperlink w:anchor="_Toc101348254" w:history="1">
        <w:r w:rsidR="002E54D4" w:rsidRPr="00A96D8C">
          <w:rPr>
            <w:rStyle w:val="Hyperlink"/>
            <w:noProof/>
          </w:rPr>
          <w:t>1.4</w:t>
        </w:r>
        <w:r w:rsidR="002E54D4">
          <w:rPr>
            <w:rFonts w:asciiTheme="minorHAnsi" w:hAnsiTheme="minorHAnsi" w:cstheme="minorBidi"/>
            <w:b w:val="0"/>
            <w:bCs w:val="0"/>
            <w:noProof/>
            <w:sz w:val="22"/>
            <w:szCs w:val="22"/>
            <w:lang w:eastAsia="en-GB"/>
          </w:rPr>
          <w:tab/>
        </w:r>
        <w:r w:rsidR="002E54D4" w:rsidRPr="00A96D8C">
          <w:rPr>
            <w:rStyle w:val="Hyperlink"/>
            <w:noProof/>
          </w:rPr>
          <w:t>Training and support</w:t>
        </w:r>
        <w:r w:rsidR="002E54D4">
          <w:rPr>
            <w:noProof/>
            <w:webHidden/>
          </w:rPr>
          <w:tab/>
        </w:r>
        <w:r w:rsidR="002E54D4">
          <w:rPr>
            <w:noProof/>
            <w:webHidden/>
          </w:rPr>
          <w:fldChar w:fldCharType="begin"/>
        </w:r>
        <w:r w:rsidR="002E54D4">
          <w:rPr>
            <w:noProof/>
            <w:webHidden/>
          </w:rPr>
          <w:instrText xml:space="preserve"> PAGEREF _Toc101348254 \h </w:instrText>
        </w:r>
        <w:r w:rsidR="002E54D4">
          <w:rPr>
            <w:noProof/>
            <w:webHidden/>
          </w:rPr>
        </w:r>
        <w:r w:rsidR="002E54D4">
          <w:rPr>
            <w:noProof/>
            <w:webHidden/>
          </w:rPr>
          <w:fldChar w:fldCharType="separate"/>
        </w:r>
        <w:r w:rsidR="006A0B9B">
          <w:rPr>
            <w:noProof/>
            <w:webHidden/>
          </w:rPr>
          <w:t>3</w:t>
        </w:r>
        <w:r w:rsidR="002E54D4">
          <w:rPr>
            <w:noProof/>
            <w:webHidden/>
          </w:rPr>
          <w:fldChar w:fldCharType="end"/>
        </w:r>
      </w:hyperlink>
    </w:p>
    <w:p w14:paraId="4F4B932C" w14:textId="7A3D5A22" w:rsidR="002E54D4" w:rsidRDefault="004303FD">
      <w:pPr>
        <w:pStyle w:val="TOC1"/>
        <w:rPr>
          <w:rFonts w:asciiTheme="minorHAnsi" w:eastAsiaTheme="minorEastAsia" w:hAnsiTheme="minorHAnsi" w:cstheme="minorBidi"/>
          <w:b w:val="0"/>
          <w:bCs w:val="0"/>
          <w:sz w:val="22"/>
          <w:szCs w:val="22"/>
          <w:lang w:eastAsia="en-GB"/>
        </w:rPr>
      </w:pPr>
      <w:hyperlink w:anchor="_Toc101348255" w:history="1">
        <w:r w:rsidR="002E54D4" w:rsidRPr="00A96D8C">
          <w:rPr>
            <w:rStyle w:val="Hyperlink"/>
          </w:rPr>
          <w:t>2</w:t>
        </w:r>
        <w:r w:rsidR="002E54D4">
          <w:rPr>
            <w:rFonts w:asciiTheme="minorHAnsi" w:eastAsiaTheme="minorEastAsia" w:hAnsiTheme="minorHAnsi" w:cstheme="minorBidi"/>
            <w:b w:val="0"/>
            <w:bCs w:val="0"/>
            <w:sz w:val="22"/>
            <w:szCs w:val="22"/>
            <w:lang w:eastAsia="en-GB"/>
          </w:rPr>
          <w:tab/>
        </w:r>
        <w:r w:rsidR="002E54D4" w:rsidRPr="00A96D8C">
          <w:rPr>
            <w:rStyle w:val="Hyperlink"/>
          </w:rPr>
          <w:t>Scope</w:t>
        </w:r>
        <w:r w:rsidR="002E54D4">
          <w:rPr>
            <w:webHidden/>
          </w:rPr>
          <w:tab/>
        </w:r>
        <w:r w:rsidR="002E54D4">
          <w:rPr>
            <w:webHidden/>
          </w:rPr>
          <w:fldChar w:fldCharType="begin"/>
        </w:r>
        <w:r w:rsidR="002E54D4">
          <w:rPr>
            <w:webHidden/>
          </w:rPr>
          <w:instrText xml:space="preserve"> PAGEREF _Toc101348255 \h </w:instrText>
        </w:r>
        <w:r w:rsidR="002E54D4">
          <w:rPr>
            <w:webHidden/>
          </w:rPr>
        </w:r>
        <w:r w:rsidR="002E54D4">
          <w:rPr>
            <w:webHidden/>
          </w:rPr>
          <w:fldChar w:fldCharType="separate"/>
        </w:r>
        <w:r w:rsidR="006A0B9B">
          <w:rPr>
            <w:webHidden/>
          </w:rPr>
          <w:t>3</w:t>
        </w:r>
        <w:r w:rsidR="002E54D4">
          <w:rPr>
            <w:webHidden/>
          </w:rPr>
          <w:fldChar w:fldCharType="end"/>
        </w:r>
      </w:hyperlink>
    </w:p>
    <w:p w14:paraId="2159E3D7" w14:textId="00A3637E" w:rsidR="002E54D4" w:rsidRDefault="004303FD">
      <w:pPr>
        <w:pStyle w:val="TOC2"/>
        <w:rPr>
          <w:rFonts w:asciiTheme="minorHAnsi" w:hAnsiTheme="minorHAnsi" w:cstheme="minorBidi"/>
          <w:b w:val="0"/>
          <w:bCs w:val="0"/>
          <w:noProof/>
          <w:sz w:val="22"/>
          <w:szCs w:val="22"/>
          <w:lang w:eastAsia="en-GB"/>
        </w:rPr>
      </w:pPr>
      <w:hyperlink w:anchor="_Toc101348256" w:history="1">
        <w:r w:rsidR="002E54D4" w:rsidRPr="00A96D8C">
          <w:rPr>
            <w:rStyle w:val="Hyperlink"/>
            <w:noProof/>
          </w:rPr>
          <w:t>2.1</w:t>
        </w:r>
        <w:r w:rsidR="002E54D4">
          <w:rPr>
            <w:rFonts w:asciiTheme="minorHAnsi" w:hAnsiTheme="minorHAnsi" w:cstheme="minorBidi"/>
            <w:b w:val="0"/>
            <w:bCs w:val="0"/>
            <w:noProof/>
            <w:sz w:val="22"/>
            <w:szCs w:val="22"/>
            <w:lang w:eastAsia="en-GB"/>
          </w:rPr>
          <w:tab/>
        </w:r>
        <w:r w:rsidR="002E54D4" w:rsidRPr="00A96D8C">
          <w:rPr>
            <w:rStyle w:val="Hyperlink"/>
            <w:noProof/>
          </w:rPr>
          <w:t>Who it applies to</w:t>
        </w:r>
        <w:r w:rsidR="002E54D4">
          <w:rPr>
            <w:noProof/>
            <w:webHidden/>
          </w:rPr>
          <w:tab/>
        </w:r>
        <w:r w:rsidR="002E54D4">
          <w:rPr>
            <w:noProof/>
            <w:webHidden/>
          </w:rPr>
          <w:fldChar w:fldCharType="begin"/>
        </w:r>
        <w:r w:rsidR="002E54D4">
          <w:rPr>
            <w:noProof/>
            <w:webHidden/>
          </w:rPr>
          <w:instrText xml:space="preserve"> PAGEREF _Toc101348256 \h </w:instrText>
        </w:r>
        <w:r w:rsidR="002E54D4">
          <w:rPr>
            <w:noProof/>
            <w:webHidden/>
          </w:rPr>
        </w:r>
        <w:r w:rsidR="002E54D4">
          <w:rPr>
            <w:noProof/>
            <w:webHidden/>
          </w:rPr>
          <w:fldChar w:fldCharType="separate"/>
        </w:r>
        <w:r w:rsidR="006A0B9B">
          <w:rPr>
            <w:noProof/>
            <w:webHidden/>
          </w:rPr>
          <w:t>3</w:t>
        </w:r>
        <w:r w:rsidR="002E54D4">
          <w:rPr>
            <w:noProof/>
            <w:webHidden/>
          </w:rPr>
          <w:fldChar w:fldCharType="end"/>
        </w:r>
      </w:hyperlink>
    </w:p>
    <w:p w14:paraId="10867551" w14:textId="275C8DDA" w:rsidR="002E54D4" w:rsidRDefault="004303FD">
      <w:pPr>
        <w:pStyle w:val="TOC2"/>
        <w:rPr>
          <w:rFonts w:asciiTheme="minorHAnsi" w:hAnsiTheme="minorHAnsi" w:cstheme="minorBidi"/>
          <w:b w:val="0"/>
          <w:bCs w:val="0"/>
          <w:noProof/>
          <w:sz w:val="22"/>
          <w:szCs w:val="22"/>
          <w:lang w:eastAsia="en-GB"/>
        </w:rPr>
      </w:pPr>
      <w:hyperlink w:anchor="_Toc101348257" w:history="1">
        <w:r w:rsidR="002E54D4" w:rsidRPr="00A96D8C">
          <w:rPr>
            <w:rStyle w:val="Hyperlink"/>
            <w:noProof/>
          </w:rPr>
          <w:t>2.2</w:t>
        </w:r>
        <w:r w:rsidR="002E54D4">
          <w:rPr>
            <w:rFonts w:asciiTheme="minorHAnsi" w:hAnsiTheme="minorHAnsi" w:cstheme="minorBidi"/>
            <w:b w:val="0"/>
            <w:bCs w:val="0"/>
            <w:noProof/>
            <w:sz w:val="22"/>
            <w:szCs w:val="22"/>
            <w:lang w:eastAsia="en-GB"/>
          </w:rPr>
          <w:tab/>
        </w:r>
        <w:r w:rsidR="002E54D4" w:rsidRPr="00A96D8C">
          <w:rPr>
            <w:rStyle w:val="Hyperlink"/>
            <w:noProof/>
          </w:rPr>
          <w:t>Why and how it applies to them</w:t>
        </w:r>
        <w:r w:rsidR="002E54D4">
          <w:rPr>
            <w:noProof/>
            <w:webHidden/>
          </w:rPr>
          <w:tab/>
        </w:r>
        <w:r w:rsidR="002E54D4">
          <w:rPr>
            <w:noProof/>
            <w:webHidden/>
          </w:rPr>
          <w:fldChar w:fldCharType="begin"/>
        </w:r>
        <w:r w:rsidR="002E54D4">
          <w:rPr>
            <w:noProof/>
            <w:webHidden/>
          </w:rPr>
          <w:instrText xml:space="preserve"> PAGEREF _Toc101348257 \h </w:instrText>
        </w:r>
        <w:r w:rsidR="002E54D4">
          <w:rPr>
            <w:noProof/>
            <w:webHidden/>
          </w:rPr>
        </w:r>
        <w:r w:rsidR="002E54D4">
          <w:rPr>
            <w:noProof/>
            <w:webHidden/>
          </w:rPr>
          <w:fldChar w:fldCharType="separate"/>
        </w:r>
        <w:r w:rsidR="006A0B9B">
          <w:rPr>
            <w:noProof/>
            <w:webHidden/>
          </w:rPr>
          <w:t>3</w:t>
        </w:r>
        <w:r w:rsidR="002E54D4">
          <w:rPr>
            <w:noProof/>
            <w:webHidden/>
          </w:rPr>
          <w:fldChar w:fldCharType="end"/>
        </w:r>
      </w:hyperlink>
    </w:p>
    <w:p w14:paraId="114F5F79" w14:textId="12408B9B" w:rsidR="002E54D4" w:rsidRDefault="004303FD">
      <w:pPr>
        <w:pStyle w:val="TOC1"/>
        <w:rPr>
          <w:rFonts w:asciiTheme="minorHAnsi" w:eastAsiaTheme="minorEastAsia" w:hAnsiTheme="minorHAnsi" w:cstheme="minorBidi"/>
          <w:b w:val="0"/>
          <w:bCs w:val="0"/>
          <w:sz w:val="22"/>
          <w:szCs w:val="22"/>
          <w:lang w:eastAsia="en-GB"/>
        </w:rPr>
      </w:pPr>
      <w:hyperlink w:anchor="_Toc101348258" w:history="1">
        <w:r w:rsidR="002E54D4" w:rsidRPr="00A96D8C">
          <w:rPr>
            <w:rStyle w:val="Hyperlink"/>
          </w:rPr>
          <w:t>3</w:t>
        </w:r>
        <w:r w:rsidR="002E54D4">
          <w:rPr>
            <w:rFonts w:asciiTheme="minorHAnsi" w:eastAsiaTheme="minorEastAsia" w:hAnsiTheme="minorHAnsi" w:cstheme="minorBidi"/>
            <w:b w:val="0"/>
            <w:bCs w:val="0"/>
            <w:sz w:val="22"/>
            <w:szCs w:val="22"/>
            <w:lang w:eastAsia="en-GB"/>
          </w:rPr>
          <w:tab/>
        </w:r>
        <w:r w:rsidR="002E54D4" w:rsidRPr="00A96D8C">
          <w:rPr>
            <w:rStyle w:val="Hyperlink"/>
          </w:rPr>
          <w:t>Guidance</w:t>
        </w:r>
        <w:r w:rsidR="002E54D4">
          <w:rPr>
            <w:webHidden/>
          </w:rPr>
          <w:tab/>
        </w:r>
        <w:r w:rsidR="002E54D4">
          <w:rPr>
            <w:webHidden/>
          </w:rPr>
          <w:fldChar w:fldCharType="begin"/>
        </w:r>
        <w:r w:rsidR="002E54D4">
          <w:rPr>
            <w:webHidden/>
          </w:rPr>
          <w:instrText xml:space="preserve"> PAGEREF _Toc101348258 \h </w:instrText>
        </w:r>
        <w:r w:rsidR="002E54D4">
          <w:rPr>
            <w:webHidden/>
          </w:rPr>
        </w:r>
        <w:r w:rsidR="002E54D4">
          <w:rPr>
            <w:webHidden/>
          </w:rPr>
          <w:fldChar w:fldCharType="separate"/>
        </w:r>
        <w:r w:rsidR="006A0B9B">
          <w:rPr>
            <w:webHidden/>
          </w:rPr>
          <w:t>3</w:t>
        </w:r>
        <w:r w:rsidR="002E54D4">
          <w:rPr>
            <w:webHidden/>
          </w:rPr>
          <w:fldChar w:fldCharType="end"/>
        </w:r>
      </w:hyperlink>
    </w:p>
    <w:p w14:paraId="2D0E5D88" w14:textId="7B88BDEE" w:rsidR="002E54D4" w:rsidRDefault="004303FD">
      <w:pPr>
        <w:pStyle w:val="TOC2"/>
        <w:rPr>
          <w:rFonts w:asciiTheme="minorHAnsi" w:hAnsiTheme="minorHAnsi" w:cstheme="minorBidi"/>
          <w:b w:val="0"/>
          <w:bCs w:val="0"/>
          <w:noProof/>
          <w:sz w:val="22"/>
          <w:szCs w:val="22"/>
          <w:lang w:eastAsia="en-GB"/>
        </w:rPr>
      </w:pPr>
      <w:hyperlink w:anchor="_Toc101348259" w:history="1">
        <w:r w:rsidR="002E54D4" w:rsidRPr="00A96D8C">
          <w:rPr>
            <w:rStyle w:val="Hyperlink"/>
            <w:noProof/>
          </w:rPr>
          <w:t>3.1</w:t>
        </w:r>
        <w:r w:rsidR="002E54D4">
          <w:rPr>
            <w:rFonts w:asciiTheme="minorHAnsi" w:hAnsiTheme="minorHAnsi" w:cstheme="minorBidi"/>
            <w:b w:val="0"/>
            <w:bCs w:val="0"/>
            <w:noProof/>
            <w:sz w:val="22"/>
            <w:szCs w:val="22"/>
            <w:lang w:eastAsia="en-GB"/>
          </w:rPr>
          <w:tab/>
        </w:r>
        <w:r w:rsidR="002E54D4" w:rsidRPr="00A96D8C">
          <w:rPr>
            <w:rStyle w:val="Hyperlink"/>
            <w:noProof/>
          </w:rPr>
          <w:t>Right of confidentiality and disclosure</w:t>
        </w:r>
        <w:r w:rsidR="002E54D4">
          <w:rPr>
            <w:noProof/>
            <w:webHidden/>
          </w:rPr>
          <w:tab/>
        </w:r>
        <w:r w:rsidR="002E54D4">
          <w:rPr>
            <w:noProof/>
            <w:webHidden/>
          </w:rPr>
          <w:fldChar w:fldCharType="begin"/>
        </w:r>
        <w:r w:rsidR="002E54D4">
          <w:rPr>
            <w:noProof/>
            <w:webHidden/>
          </w:rPr>
          <w:instrText xml:space="preserve"> PAGEREF _Toc101348259 \h </w:instrText>
        </w:r>
        <w:r w:rsidR="002E54D4">
          <w:rPr>
            <w:noProof/>
            <w:webHidden/>
          </w:rPr>
        </w:r>
        <w:r w:rsidR="002E54D4">
          <w:rPr>
            <w:noProof/>
            <w:webHidden/>
          </w:rPr>
          <w:fldChar w:fldCharType="separate"/>
        </w:r>
        <w:r w:rsidR="006A0B9B">
          <w:rPr>
            <w:noProof/>
            <w:webHidden/>
          </w:rPr>
          <w:t>4</w:t>
        </w:r>
        <w:r w:rsidR="002E54D4">
          <w:rPr>
            <w:noProof/>
            <w:webHidden/>
          </w:rPr>
          <w:fldChar w:fldCharType="end"/>
        </w:r>
      </w:hyperlink>
    </w:p>
    <w:p w14:paraId="1B26E334" w14:textId="2AB65969" w:rsidR="002E54D4" w:rsidRDefault="004303FD">
      <w:pPr>
        <w:pStyle w:val="TOC2"/>
        <w:rPr>
          <w:rFonts w:asciiTheme="minorHAnsi" w:hAnsiTheme="minorHAnsi" w:cstheme="minorBidi"/>
          <w:b w:val="0"/>
          <w:bCs w:val="0"/>
          <w:noProof/>
          <w:sz w:val="22"/>
          <w:szCs w:val="22"/>
          <w:lang w:eastAsia="en-GB"/>
        </w:rPr>
      </w:pPr>
      <w:hyperlink w:anchor="_Toc101348260" w:history="1">
        <w:r w:rsidR="002E54D4" w:rsidRPr="00A96D8C">
          <w:rPr>
            <w:rStyle w:val="Hyperlink"/>
            <w:noProof/>
          </w:rPr>
          <w:t>3.2</w:t>
        </w:r>
        <w:r w:rsidR="002E54D4">
          <w:rPr>
            <w:rFonts w:asciiTheme="minorHAnsi" w:hAnsiTheme="minorHAnsi" w:cstheme="minorBidi"/>
            <w:b w:val="0"/>
            <w:bCs w:val="0"/>
            <w:noProof/>
            <w:sz w:val="22"/>
            <w:szCs w:val="22"/>
            <w:lang w:eastAsia="en-GB"/>
          </w:rPr>
          <w:tab/>
        </w:r>
        <w:r w:rsidR="002E54D4" w:rsidRPr="00A96D8C">
          <w:rPr>
            <w:rStyle w:val="Hyperlink"/>
            <w:noProof/>
          </w:rPr>
          <w:t>Requester may have a claim arising from the death</w:t>
        </w:r>
        <w:r w:rsidR="002E54D4">
          <w:rPr>
            <w:noProof/>
            <w:webHidden/>
          </w:rPr>
          <w:tab/>
        </w:r>
        <w:r w:rsidR="002E54D4">
          <w:rPr>
            <w:noProof/>
            <w:webHidden/>
          </w:rPr>
          <w:fldChar w:fldCharType="begin"/>
        </w:r>
        <w:r w:rsidR="002E54D4">
          <w:rPr>
            <w:noProof/>
            <w:webHidden/>
          </w:rPr>
          <w:instrText xml:space="preserve"> PAGEREF _Toc101348260 \h </w:instrText>
        </w:r>
        <w:r w:rsidR="002E54D4">
          <w:rPr>
            <w:noProof/>
            <w:webHidden/>
          </w:rPr>
        </w:r>
        <w:r w:rsidR="002E54D4">
          <w:rPr>
            <w:noProof/>
            <w:webHidden/>
          </w:rPr>
          <w:fldChar w:fldCharType="separate"/>
        </w:r>
        <w:r w:rsidR="006A0B9B">
          <w:rPr>
            <w:noProof/>
            <w:webHidden/>
          </w:rPr>
          <w:t>4</w:t>
        </w:r>
        <w:r w:rsidR="002E54D4">
          <w:rPr>
            <w:noProof/>
            <w:webHidden/>
          </w:rPr>
          <w:fldChar w:fldCharType="end"/>
        </w:r>
      </w:hyperlink>
    </w:p>
    <w:p w14:paraId="3DE70F97" w14:textId="29D8DEA1" w:rsidR="002E54D4" w:rsidRDefault="004303FD">
      <w:pPr>
        <w:pStyle w:val="TOC1"/>
        <w:rPr>
          <w:rFonts w:asciiTheme="minorHAnsi" w:eastAsiaTheme="minorEastAsia" w:hAnsiTheme="minorHAnsi" w:cstheme="minorBidi"/>
          <w:b w:val="0"/>
          <w:bCs w:val="0"/>
          <w:sz w:val="22"/>
          <w:szCs w:val="22"/>
          <w:lang w:eastAsia="en-GB"/>
        </w:rPr>
      </w:pPr>
      <w:hyperlink w:anchor="_Toc101348261" w:history="1">
        <w:r w:rsidR="002E54D4" w:rsidRPr="00A96D8C">
          <w:rPr>
            <w:rStyle w:val="Hyperlink"/>
          </w:rPr>
          <w:t>4</w:t>
        </w:r>
        <w:r w:rsidR="002E54D4">
          <w:rPr>
            <w:rFonts w:asciiTheme="minorHAnsi" w:eastAsiaTheme="minorEastAsia" w:hAnsiTheme="minorHAnsi" w:cstheme="minorBidi"/>
            <w:b w:val="0"/>
            <w:bCs w:val="0"/>
            <w:sz w:val="22"/>
            <w:szCs w:val="22"/>
            <w:lang w:eastAsia="en-GB"/>
          </w:rPr>
          <w:tab/>
        </w:r>
        <w:r w:rsidR="002E54D4" w:rsidRPr="00A96D8C">
          <w:rPr>
            <w:rStyle w:val="Hyperlink"/>
          </w:rPr>
          <w:t>Deceased patients’ health records – statutory explanations</w:t>
        </w:r>
        <w:r w:rsidR="002E54D4">
          <w:rPr>
            <w:webHidden/>
          </w:rPr>
          <w:tab/>
        </w:r>
        <w:r w:rsidR="002E54D4">
          <w:rPr>
            <w:webHidden/>
          </w:rPr>
          <w:fldChar w:fldCharType="begin"/>
        </w:r>
        <w:r w:rsidR="002E54D4">
          <w:rPr>
            <w:webHidden/>
          </w:rPr>
          <w:instrText xml:space="preserve"> PAGEREF _Toc101348261 \h </w:instrText>
        </w:r>
        <w:r w:rsidR="002E54D4">
          <w:rPr>
            <w:webHidden/>
          </w:rPr>
        </w:r>
        <w:r w:rsidR="002E54D4">
          <w:rPr>
            <w:webHidden/>
          </w:rPr>
          <w:fldChar w:fldCharType="separate"/>
        </w:r>
        <w:r w:rsidR="006A0B9B">
          <w:rPr>
            <w:webHidden/>
          </w:rPr>
          <w:t>4</w:t>
        </w:r>
        <w:r w:rsidR="002E54D4">
          <w:rPr>
            <w:webHidden/>
          </w:rPr>
          <w:fldChar w:fldCharType="end"/>
        </w:r>
      </w:hyperlink>
    </w:p>
    <w:p w14:paraId="644DFB8E" w14:textId="47898B61" w:rsidR="002E54D4" w:rsidRDefault="004303FD">
      <w:pPr>
        <w:pStyle w:val="TOC2"/>
        <w:rPr>
          <w:rFonts w:asciiTheme="minorHAnsi" w:hAnsiTheme="minorHAnsi" w:cstheme="minorBidi"/>
          <w:b w:val="0"/>
          <w:bCs w:val="0"/>
          <w:noProof/>
          <w:sz w:val="22"/>
          <w:szCs w:val="22"/>
          <w:lang w:eastAsia="en-GB"/>
        </w:rPr>
      </w:pPr>
      <w:hyperlink w:anchor="_Toc101348262" w:history="1">
        <w:r w:rsidR="002E54D4" w:rsidRPr="00A96D8C">
          <w:rPr>
            <w:rStyle w:val="Hyperlink"/>
            <w:noProof/>
          </w:rPr>
          <w:t>4.1</w:t>
        </w:r>
        <w:r w:rsidR="002E54D4">
          <w:rPr>
            <w:rFonts w:asciiTheme="minorHAnsi" w:hAnsiTheme="minorHAnsi" w:cstheme="minorBidi"/>
            <w:b w:val="0"/>
            <w:bCs w:val="0"/>
            <w:noProof/>
            <w:sz w:val="22"/>
            <w:szCs w:val="22"/>
            <w:lang w:eastAsia="en-GB"/>
          </w:rPr>
          <w:tab/>
        </w:r>
        <w:r w:rsidR="002E54D4" w:rsidRPr="00A96D8C">
          <w:rPr>
            <w:rStyle w:val="Hyperlink"/>
            <w:noProof/>
          </w:rPr>
          <w:t>Access to Health Records Act 1990 (AHRA)</w:t>
        </w:r>
        <w:r w:rsidR="002E54D4">
          <w:rPr>
            <w:noProof/>
            <w:webHidden/>
          </w:rPr>
          <w:tab/>
        </w:r>
        <w:r w:rsidR="002E54D4">
          <w:rPr>
            <w:noProof/>
            <w:webHidden/>
          </w:rPr>
          <w:fldChar w:fldCharType="begin"/>
        </w:r>
        <w:r w:rsidR="002E54D4">
          <w:rPr>
            <w:noProof/>
            <w:webHidden/>
          </w:rPr>
          <w:instrText xml:space="preserve"> PAGEREF _Toc101348262 \h </w:instrText>
        </w:r>
        <w:r w:rsidR="002E54D4">
          <w:rPr>
            <w:noProof/>
            <w:webHidden/>
          </w:rPr>
        </w:r>
        <w:r w:rsidR="002E54D4">
          <w:rPr>
            <w:noProof/>
            <w:webHidden/>
          </w:rPr>
          <w:fldChar w:fldCharType="separate"/>
        </w:r>
        <w:r w:rsidR="006A0B9B">
          <w:rPr>
            <w:noProof/>
            <w:webHidden/>
          </w:rPr>
          <w:t>4</w:t>
        </w:r>
        <w:r w:rsidR="002E54D4">
          <w:rPr>
            <w:noProof/>
            <w:webHidden/>
          </w:rPr>
          <w:fldChar w:fldCharType="end"/>
        </w:r>
      </w:hyperlink>
    </w:p>
    <w:p w14:paraId="1EB85F6A" w14:textId="77DD37C9" w:rsidR="002E54D4" w:rsidRDefault="004303FD">
      <w:pPr>
        <w:pStyle w:val="TOC2"/>
        <w:rPr>
          <w:rFonts w:asciiTheme="minorHAnsi" w:hAnsiTheme="minorHAnsi" w:cstheme="minorBidi"/>
          <w:b w:val="0"/>
          <w:bCs w:val="0"/>
          <w:noProof/>
          <w:sz w:val="22"/>
          <w:szCs w:val="22"/>
          <w:lang w:eastAsia="en-GB"/>
        </w:rPr>
      </w:pPr>
      <w:hyperlink w:anchor="_Toc101348263" w:history="1">
        <w:r w:rsidR="002E54D4" w:rsidRPr="00A96D8C">
          <w:rPr>
            <w:rStyle w:val="Hyperlink"/>
            <w:noProof/>
          </w:rPr>
          <w:t>4.2</w:t>
        </w:r>
        <w:r w:rsidR="002E54D4">
          <w:rPr>
            <w:rFonts w:asciiTheme="minorHAnsi" w:hAnsiTheme="minorHAnsi" w:cstheme="minorBidi"/>
            <w:b w:val="0"/>
            <w:bCs w:val="0"/>
            <w:noProof/>
            <w:sz w:val="22"/>
            <w:szCs w:val="22"/>
            <w:lang w:eastAsia="en-GB"/>
          </w:rPr>
          <w:tab/>
        </w:r>
        <w:r w:rsidR="002E54D4" w:rsidRPr="00A96D8C">
          <w:rPr>
            <w:rStyle w:val="Hyperlink"/>
            <w:noProof/>
          </w:rPr>
          <w:t>Applying for access under AHRA</w:t>
        </w:r>
        <w:r w:rsidR="002E54D4">
          <w:rPr>
            <w:noProof/>
            <w:webHidden/>
          </w:rPr>
          <w:tab/>
        </w:r>
        <w:r w:rsidR="002E54D4">
          <w:rPr>
            <w:noProof/>
            <w:webHidden/>
          </w:rPr>
          <w:fldChar w:fldCharType="begin"/>
        </w:r>
        <w:r w:rsidR="002E54D4">
          <w:rPr>
            <w:noProof/>
            <w:webHidden/>
          </w:rPr>
          <w:instrText xml:space="preserve"> PAGEREF _Toc101348263 \h </w:instrText>
        </w:r>
        <w:r w:rsidR="002E54D4">
          <w:rPr>
            <w:noProof/>
            <w:webHidden/>
          </w:rPr>
        </w:r>
        <w:r w:rsidR="002E54D4">
          <w:rPr>
            <w:noProof/>
            <w:webHidden/>
          </w:rPr>
          <w:fldChar w:fldCharType="separate"/>
        </w:r>
        <w:r w:rsidR="006A0B9B">
          <w:rPr>
            <w:noProof/>
            <w:webHidden/>
          </w:rPr>
          <w:t>5</w:t>
        </w:r>
        <w:r w:rsidR="002E54D4">
          <w:rPr>
            <w:noProof/>
            <w:webHidden/>
          </w:rPr>
          <w:fldChar w:fldCharType="end"/>
        </w:r>
      </w:hyperlink>
    </w:p>
    <w:p w14:paraId="22311D68" w14:textId="35E6CBD8" w:rsidR="002E54D4" w:rsidRDefault="004303FD">
      <w:pPr>
        <w:pStyle w:val="TOC2"/>
        <w:rPr>
          <w:rFonts w:asciiTheme="minorHAnsi" w:hAnsiTheme="minorHAnsi" w:cstheme="minorBidi"/>
          <w:b w:val="0"/>
          <w:bCs w:val="0"/>
          <w:noProof/>
          <w:sz w:val="22"/>
          <w:szCs w:val="22"/>
          <w:lang w:eastAsia="en-GB"/>
        </w:rPr>
      </w:pPr>
      <w:hyperlink w:anchor="_Toc101348264" w:history="1">
        <w:r w:rsidR="002E54D4" w:rsidRPr="00A96D8C">
          <w:rPr>
            <w:rStyle w:val="Hyperlink"/>
            <w:noProof/>
          </w:rPr>
          <w:t>4.3</w:t>
        </w:r>
        <w:r w:rsidR="002E54D4">
          <w:rPr>
            <w:rFonts w:asciiTheme="minorHAnsi" w:hAnsiTheme="minorHAnsi" w:cstheme="minorBidi"/>
            <w:b w:val="0"/>
            <w:bCs w:val="0"/>
            <w:noProof/>
            <w:sz w:val="22"/>
            <w:szCs w:val="22"/>
            <w:lang w:eastAsia="en-GB"/>
          </w:rPr>
          <w:tab/>
        </w:r>
        <w:r w:rsidR="002E54D4" w:rsidRPr="00A96D8C">
          <w:rPr>
            <w:rStyle w:val="Hyperlink"/>
            <w:noProof/>
          </w:rPr>
          <w:t>Disclosure in the absence of a statutory basis</w:t>
        </w:r>
        <w:r w:rsidR="002E54D4">
          <w:rPr>
            <w:noProof/>
            <w:webHidden/>
          </w:rPr>
          <w:tab/>
        </w:r>
        <w:r w:rsidR="002E54D4">
          <w:rPr>
            <w:noProof/>
            <w:webHidden/>
          </w:rPr>
          <w:fldChar w:fldCharType="begin"/>
        </w:r>
        <w:r w:rsidR="002E54D4">
          <w:rPr>
            <w:noProof/>
            <w:webHidden/>
          </w:rPr>
          <w:instrText xml:space="preserve"> PAGEREF _Toc101348264 \h </w:instrText>
        </w:r>
        <w:r w:rsidR="002E54D4">
          <w:rPr>
            <w:noProof/>
            <w:webHidden/>
          </w:rPr>
        </w:r>
        <w:r w:rsidR="002E54D4">
          <w:rPr>
            <w:noProof/>
            <w:webHidden/>
          </w:rPr>
          <w:fldChar w:fldCharType="separate"/>
        </w:r>
        <w:r w:rsidR="006A0B9B">
          <w:rPr>
            <w:noProof/>
            <w:webHidden/>
          </w:rPr>
          <w:t>6</w:t>
        </w:r>
        <w:r w:rsidR="002E54D4">
          <w:rPr>
            <w:noProof/>
            <w:webHidden/>
          </w:rPr>
          <w:fldChar w:fldCharType="end"/>
        </w:r>
      </w:hyperlink>
    </w:p>
    <w:p w14:paraId="5141E596" w14:textId="0CEC802F" w:rsidR="002E54D4" w:rsidRDefault="004303FD">
      <w:pPr>
        <w:pStyle w:val="TOC2"/>
        <w:rPr>
          <w:rFonts w:asciiTheme="minorHAnsi" w:hAnsiTheme="minorHAnsi" w:cstheme="minorBidi"/>
          <w:b w:val="0"/>
          <w:bCs w:val="0"/>
          <w:noProof/>
          <w:sz w:val="22"/>
          <w:szCs w:val="22"/>
          <w:lang w:eastAsia="en-GB"/>
        </w:rPr>
      </w:pPr>
      <w:hyperlink w:anchor="_Toc101348265" w:history="1">
        <w:r w:rsidR="002E54D4" w:rsidRPr="00A96D8C">
          <w:rPr>
            <w:rStyle w:val="Hyperlink"/>
            <w:noProof/>
          </w:rPr>
          <w:t>4.4</w:t>
        </w:r>
        <w:r w:rsidR="002E54D4">
          <w:rPr>
            <w:rFonts w:asciiTheme="minorHAnsi" w:hAnsiTheme="minorHAnsi" w:cstheme="minorBidi"/>
            <w:b w:val="0"/>
            <w:bCs w:val="0"/>
            <w:noProof/>
            <w:sz w:val="22"/>
            <w:szCs w:val="22"/>
            <w:lang w:eastAsia="en-GB"/>
          </w:rPr>
          <w:tab/>
        </w:r>
        <w:r w:rsidR="002E54D4" w:rsidRPr="00A96D8C">
          <w:rPr>
            <w:rStyle w:val="Hyperlink"/>
            <w:noProof/>
          </w:rPr>
          <w:t>Refusal of a request</w:t>
        </w:r>
        <w:r w:rsidR="002E54D4">
          <w:rPr>
            <w:noProof/>
            <w:webHidden/>
          </w:rPr>
          <w:tab/>
        </w:r>
        <w:r w:rsidR="002E54D4">
          <w:rPr>
            <w:noProof/>
            <w:webHidden/>
          </w:rPr>
          <w:fldChar w:fldCharType="begin"/>
        </w:r>
        <w:r w:rsidR="002E54D4">
          <w:rPr>
            <w:noProof/>
            <w:webHidden/>
          </w:rPr>
          <w:instrText xml:space="preserve"> PAGEREF _Toc101348265 \h </w:instrText>
        </w:r>
        <w:r w:rsidR="002E54D4">
          <w:rPr>
            <w:noProof/>
            <w:webHidden/>
          </w:rPr>
        </w:r>
        <w:r w:rsidR="002E54D4">
          <w:rPr>
            <w:noProof/>
            <w:webHidden/>
          </w:rPr>
          <w:fldChar w:fldCharType="separate"/>
        </w:r>
        <w:r w:rsidR="006A0B9B">
          <w:rPr>
            <w:noProof/>
            <w:webHidden/>
          </w:rPr>
          <w:t>6</w:t>
        </w:r>
        <w:r w:rsidR="002E54D4">
          <w:rPr>
            <w:noProof/>
            <w:webHidden/>
          </w:rPr>
          <w:fldChar w:fldCharType="end"/>
        </w:r>
      </w:hyperlink>
    </w:p>
    <w:p w14:paraId="68119E48" w14:textId="36A65D60" w:rsidR="002E54D4" w:rsidRDefault="004303FD">
      <w:pPr>
        <w:pStyle w:val="TOC2"/>
        <w:rPr>
          <w:rFonts w:asciiTheme="minorHAnsi" w:hAnsiTheme="minorHAnsi" w:cstheme="minorBidi"/>
          <w:b w:val="0"/>
          <w:bCs w:val="0"/>
          <w:noProof/>
          <w:sz w:val="22"/>
          <w:szCs w:val="22"/>
          <w:lang w:eastAsia="en-GB"/>
        </w:rPr>
      </w:pPr>
      <w:hyperlink w:anchor="_Toc101348266" w:history="1">
        <w:r w:rsidR="002E54D4" w:rsidRPr="00A96D8C">
          <w:rPr>
            <w:rStyle w:val="Hyperlink"/>
            <w:noProof/>
          </w:rPr>
          <w:t>4.5</w:t>
        </w:r>
        <w:r w:rsidR="002E54D4">
          <w:rPr>
            <w:rFonts w:asciiTheme="minorHAnsi" w:hAnsiTheme="minorHAnsi" w:cstheme="minorBidi"/>
            <w:b w:val="0"/>
            <w:bCs w:val="0"/>
            <w:noProof/>
            <w:sz w:val="22"/>
            <w:szCs w:val="22"/>
            <w:lang w:eastAsia="en-GB"/>
          </w:rPr>
          <w:tab/>
        </w:r>
        <w:r w:rsidR="002E54D4" w:rsidRPr="00A96D8C">
          <w:rPr>
            <w:rStyle w:val="Hyperlink"/>
            <w:noProof/>
          </w:rPr>
          <w:t>Fees for access to deceased patients’ health records</w:t>
        </w:r>
        <w:r w:rsidR="002E54D4">
          <w:rPr>
            <w:noProof/>
            <w:webHidden/>
          </w:rPr>
          <w:tab/>
        </w:r>
        <w:r w:rsidR="002E54D4">
          <w:rPr>
            <w:noProof/>
            <w:webHidden/>
          </w:rPr>
          <w:fldChar w:fldCharType="begin"/>
        </w:r>
        <w:r w:rsidR="002E54D4">
          <w:rPr>
            <w:noProof/>
            <w:webHidden/>
          </w:rPr>
          <w:instrText xml:space="preserve"> PAGEREF _Toc101348266 \h </w:instrText>
        </w:r>
        <w:r w:rsidR="002E54D4">
          <w:rPr>
            <w:noProof/>
            <w:webHidden/>
          </w:rPr>
        </w:r>
        <w:r w:rsidR="002E54D4">
          <w:rPr>
            <w:noProof/>
            <w:webHidden/>
          </w:rPr>
          <w:fldChar w:fldCharType="separate"/>
        </w:r>
        <w:r w:rsidR="006A0B9B">
          <w:rPr>
            <w:noProof/>
            <w:webHidden/>
          </w:rPr>
          <w:t>7</w:t>
        </w:r>
        <w:r w:rsidR="002E54D4">
          <w:rPr>
            <w:noProof/>
            <w:webHidden/>
          </w:rPr>
          <w:fldChar w:fldCharType="end"/>
        </w:r>
      </w:hyperlink>
    </w:p>
    <w:p w14:paraId="06F2147D" w14:textId="13C4D57D" w:rsidR="002E54D4" w:rsidRDefault="004303FD">
      <w:pPr>
        <w:pStyle w:val="TOC2"/>
        <w:rPr>
          <w:rFonts w:asciiTheme="minorHAnsi" w:hAnsiTheme="minorHAnsi" w:cstheme="minorBidi"/>
          <w:b w:val="0"/>
          <w:bCs w:val="0"/>
          <w:noProof/>
          <w:sz w:val="22"/>
          <w:szCs w:val="22"/>
          <w:lang w:eastAsia="en-GB"/>
        </w:rPr>
      </w:pPr>
      <w:hyperlink w:anchor="_Toc101348267" w:history="1">
        <w:r w:rsidR="002E54D4" w:rsidRPr="00A96D8C">
          <w:rPr>
            <w:rStyle w:val="Hyperlink"/>
            <w:noProof/>
          </w:rPr>
          <w:t>4.6</w:t>
        </w:r>
        <w:r w:rsidR="002E54D4">
          <w:rPr>
            <w:rFonts w:asciiTheme="minorHAnsi" w:hAnsiTheme="minorHAnsi" w:cstheme="minorBidi"/>
            <w:b w:val="0"/>
            <w:bCs w:val="0"/>
            <w:noProof/>
            <w:sz w:val="22"/>
            <w:szCs w:val="22"/>
            <w:lang w:eastAsia="en-GB"/>
          </w:rPr>
          <w:tab/>
        </w:r>
        <w:r w:rsidR="002E54D4" w:rsidRPr="00A96D8C">
          <w:rPr>
            <w:rStyle w:val="Hyperlink"/>
            <w:noProof/>
          </w:rPr>
          <w:t>Exemptions to disclosures of information relating to deceased patients</w:t>
        </w:r>
        <w:r w:rsidR="002E54D4">
          <w:rPr>
            <w:noProof/>
            <w:webHidden/>
          </w:rPr>
          <w:tab/>
        </w:r>
        <w:r w:rsidR="002E54D4">
          <w:rPr>
            <w:noProof/>
            <w:webHidden/>
          </w:rPr>
          <w:fldChar w:fldCharType="begin"/>
        </w:r>
        <w:r w:rsidR="002E54D4">
          <w:rPr>
            <w:noProof/>
            <w:webHidden/>
          </w:rPr>
          <w:instrText xml:space="preserve"> PAGEREF _Toc101348267 \h </w:instrText>
        </w:r>
        <w:r w:rsidR="002E54D4">
          <w:rPr>
            <w:noProof/>
            <w:webHidden/>
          </w:rPr>
        </w:r>
        <w:r w:rsidR="002E54D4">
          <w:rPr>
            <w:noProof/>
            <w:webHidden/>
          </w:rPr>
          <w:fldChar w:fldCharType="separate"/>
        </w:r>
        <w:r w:rsidR="006A0B9B">
          <w:rPr>
            <w:noProof/>
            <w:webHidden/>
          </w:rPr>
          <w:t>8</w:t>
        </w:r>
        <w:r w:rsidR="002E54D4">
          <w:rPr>
            <w:noProof/>
            <w:webHidden/>
          </w:rPr>
          <w:fldChar w:fldCharType="end"/>
        </w:r>
      </w:hyperlink>
    </w:p>
    <w:p w14:paraId="1008BB35" w14:textId="09470CC2" w:rsidR="002E54D4" w:rsidRDefault="004303FD">
      <w:pPr>
        <w:pStyle w:val="TOC1"/>
        <w:rPr>
          <w:rFonts w:asciiTheme="minorHAnsi" w:eastAsiaTheme="minorEastAsia" w:hAnsiTheme="minorHAnsi" w:cstheme="minorBidi"/>
          <w:b w:val="0"/>
          <w:bCs w:val="0"/>
          <w:sz w:val="22"/>
          <w:szCs w:val="22"/>
          <w:lang w:eastAsia="en-GB"/>
        </w:rPr>
      </w:pPr>
      <w:hyperlink w:anchor="_Toc101348268" w:history="1">
        <w:r w:rsidR="002E54D4" w:rsidRPr="00A96D8C">
          <w:rPr>
            <w:rStyle w:val="Hyperlink"/>
          </w:rPr>
          <w:t>5</w:t>
        </w:r>
        <w:r w:rsidR="002E54D4">
          <w:rPr>
            <w:rFonts w:asciiTheme="minorHAnsi" w:eastAsiaTheme="minorEastAsia" w:hAnsiTheme="minorHAnsi" w:cstheme="minorBidi"/>
            <w:b w:val="0"/>
            <w:bCs w:val="0"/>
            <w:sz w:val="22"/>
            <w:szCs w:val="22"/>
            <w:lang w:eastAsia="en-GB"/>
          </w:rPr>
          <w:tab/>
        </w:r>
        <w:r w:rsidR="002E54D4" w:rsidRPr="00A96D8C">
          <w:rPr>
            <w:rStyle w:val="Hyperlink"/>
          </w:rPr>
          <w:t>Summary</w:t>
        </w:r>
        <w:r w:rsidR="002E54D4">
          <w:rPr>
            <w:webHidden/>
          </w:rPr>
          <w:tab/>
        </w:r>
        <w:r w:rsidR="002E54D4">
          <w:rPr>
            <w:webHidden/>
          </w:rPr>
          <w:fldChar w:fldCharType="begin"/>
        </w:r>
        <w:r w:rsidR="002E54D4">
          <w:rPr>
            <w:webHidden/>
          </w:rPr>
          <w:instrText xml:space="preserve"> PAGEREF _Toc101348268 \h </w:instrText>
        </w:r>
        <w:r w:rsidR="002E54D4">
          <w:rPr>
            <w:webHidden/>
          </w:rPr>
        </w:r>
        <w:r w:rsidR="002E54D4">
          <w:rPr>
            <w:webHidden/>
          </w:rPr>
          <w:fldChar w:fldCharType="separate"/>
        </w:r>
        <w:r w:rsidR="006A0B9B">
          <w:rPr>
            <w:webHidden/>
          </w:rPr>
          <w:t>8</w:t>
        </w:r>
        <w:r w:rsidR="002E54D4">
          <w:rPr>
            <w:webHidden/>
          </w:rPr>
          <w:fldChar w:fldCharType="end"/>
        </w:r>
      </w:hyperlink>
    </w:p>
    <w:p w14:paraId="319E469B" w14:textId="169E8372" w:rsidR="00D85E4D" w:rsidRPr="00B535CF" w:rsidRDefault="00D85E4D" w:rsidP="002638C3">
      <w:pPr>
        <w:pStyle w:val="TOC1"/>
        <w:rPr>
          <w:b w:val="0"/>
          <w:bCs w:val="0"/>
          <w:noProof w:val="0"/>
          <w:sz w:val="20"/>
          <w:szCs w:val="28"/>
        </w:rPr>
      </w:pPr>
      <w:r w:rsidRPr="00B535CF">
        <w:rPr>
          <w:b w:val="0"/>
          <w:bCs w:val="0"/>
          <w:noProof w:val="0"/>
          <w:sz w:val="20"/>
          <w:szCs w:val="28"/>
        </w:rPr>
        <w:fldChar w:fldCharType="end"/>
      </w:r>
    </w:p>
    <w:p w14:paraId="22C44A64" w14:textId="77777777" w:rsidR="00680162" w:rsidRPr="00B535CF" w:rsidRDefault="00680162" w:rsidP="00680162">
      <w:pPr>
        <w:rPr>
          <w:lang w:eastAsia="en-US"/>
        </w:rPr>
      </w:pPr>
    </w:p>
    <w:p w14:paraId="5F669373" w14:textId="77777777" w:rsidR="00680162" w:rsidRPr="00B535CF" w:rsidRDefault="00680162" w:rsidP="00680162">
      <w:pPr>
        <w:rPr>
          <w:lang w:eastAsia="en-US"/>
        </w:rPr>
      </w:pPr>
    </w:p>
    <w:p w14:paraId="7D339AA9" w14:textId="77777777" w:rsidR="00680162" w:rsidRPr="00B535CF" w:rsidRDefault="00680162" w:rsidP="00680162">
      <w:pPr>
        <w:rPr>
          <w:lang w:eastAsia="en-US"/>
        </w:rPr>
      </w:pPr>
    </w:p>
    <w:p w14:paraId="3FC13736" w14:textId="77777777" w:rsidR="00680162" w:rsidRPr="00B535CF" w:rsidRDefault="00680162" w:rsidP="00680162">
      <w:pPr>
        <w:rPr>
          <w:lang w:eastAsia="en-US"/>
        </w:rPr>
      </w:pPr>
    </w:p>
    <w:p w14:paraId="726FE928" w14:textId="77777777" w:rsidR="00680162" w:rsidRPr="00B535CF" w:rsidRDefault="00680162" w:rsidP="00680162">
      <w:pPr>
        <w:rPr>
          <w:lang w:eastAsia="en-US"/>
        </w:rPr>
      </w:pPr>
    </w:p>
    <w:p w14:paraId="4A509BDE" w14:textId="77777777" w:rsidR="00680162" w:rsidRPr="00B535CF" w:rsidRDefault="00680162" w:rsidP="00680162">
      <w:pPr>
        <w:rPr>
          <w:lang w:eastAsia="en-US"/>
        </w:rPr>
      </w:pPr>
    </w:p>
    <w:p w14:paraId="3B286C97" w14:textId="77777777" w:rsidR="00680162" w:rsidRPr="00B535CF" w:rsidRDefault="00680162" w:rsidP="00680162">
      <w:pPr>
        <w:rPr>
          <w:lang w:eastAsia="en-US"/>
        </w:rPr>
      </w:pPr>
    </w:p>
    <w:p w14:paraId="7C1F4396" w14:textId="5FC4C65A" w:rsidR="000858D5" w:rsidRPr="00B535CF" w:rsidRDefault="000858D5" w:rsidP="000858D5">
      <w:pPr>
        <w:pStyle w:val="Heading1"/>
        <w:keepLines/>
        <w:pBdr>
          <w:bottom w:val="single" w:sz="4" w:space="1" w:color="595959" w:themeColor="text1" w:themeTint="A6"/>
        </w:pBdr>
        <w:spacing w:before="360" w:after="160" w:line="259" w:lineRule="auto"/>
        <w:rPr>
          <w:sz w:val="28"/>
          <w:szCs w:val="28"/>
        </w:rPr>
      </w:pPr>
      <w:bookmarkStart w:id="0" w:name="_Toc43131887"/>
      <w:bookmarkStart w:id="1" w:name="_Toc101348250"/>
      <w:r w:rsidRPr="00B535CF">
        <w:rPr>
          <w:sz w:val="28"/>
          <w:szCs w:val="28"/>
        </w:rPr>
        <w:lastRenderedPageBreak/>
        <w:t>Introduction</w:t>
      </w:r>
      <w:bookmarkEnd w:id="0"/>
      <w:bookmarkEnd w:id="1"/>
    </w:p>
    <w:p w14:paraId="4C3C3D66" w14:textId="0E418E01" w:rsidR="00044905" w:rsidRPr="00B535CF" w:rsidRDefault="00341DE8" w:rsidP="0092476B">
      <w:pPr>
        <w:pStyle w:val="Heading2"/>
        <w:ind w:left="567"/>
        <w:rPr>
          <w:rFonts w:ascii="Arial" w:hAnsi="Arial" w:cs="Arial"/>
          <w:smallCaps w:val="0"/>
          <w:sz w:val="24"/>
          <w:szCs w:val="24"/>
          <w:lang w:val="en-GB"/>
        </w:rPr>
      </w:pPr>
      <w:bookmarkStart w:id="2" w:name="_Toc495852825"/>
      <w:bookmarkStart w:id="3" w:name="_Toc43131888"/>
      <w:bookmarkStart w:id="4" w:name="_Toc101348251"/>
      <w:r w:rsidRPr="00B535CF">
        <w:rPr>
          <w:rFonts w:ascii="Arial" w:hAnsi="Arial" w:cs="Arial"/>
          <w:smallCaps w:val="0"/>
          <w:sz w:val="24"/>
          <w:szCs w:val="24"/>
          <w:lang w:val="en-GB"/>
        </w:rPr>
        <w:t>Guidance</w:t>
      </w:r>
      <w:r w:rsidR="00044905" w:rsidRPr="00B535CF">
        <w:rPr>
          <w:rFonts w:ascii="Arial" w:hAnsi="Arial" w:cs="Arial"/>
          <w:smallCaps w:val="0"/>
          <w:sz w:val="24"/>
          <w:szCs w:val="24"/>
          <w:lang w:val="en-GB"/>
        </w:rPr>
        <w:t xml:space="preserve"> statement</w:t>
      </w:r>
      <w:bookmarkEnd w:id="2"/>
      <w:bookmarkEnd w:id="3"/>
      <w:bookmarkEnd w:id="4"/>
    </w:p>
    <w:p w14:paraId="121F9C13" w14:textId="7435C555" w:rsidR="009E44EC" w:rsidRPr="00B535CF" w:rsidRDefault="009E44EC" w:rsidP="00C14BBC">
      <w:pPr>
        <w:rPr>
          <w:rFonts w:ascii="Arial" w:hAnsi="Arial" w:cs="Arial"/>
          <w:sz w:val="22"/>
          <w:szCs w:val="22"/>
        </w:rPr>
      </w:pPr>
    </w:p>
    <w:p w14:paraId="7B395B78" w14:textId="46992AF6" w:rsidR="007412E4" w:rsidRPr="00B535CF" w:rsidRDefault="007763DE" w:rsidP="00C14BBC">
      <w:pPr>
        <w:rPr>
          <w:rFonts w:ascii="Arial" w:hAnsi="Arial" w:cs="Arial"/>
          <w:sz w:val="22"/>
          <w:szCs w:val="22"/>
        </w:rPr>
      </w:pPr>
      <w:r w:rsidRPr="00B535CF">
        <w:rPr>
          <w:rFonts w:ascii="Arial" w:hAnsi="Arial" w:cs="Arial"/>
          <w:sz w:val="22"/>
          <w:szCs w:val="22"/>
        </w:rPr>
        <w:t>This guidance sets out the expectations for employees who manage access to deceased patients</w:t>
      </w:r>
      <w:r w:rsidR="00A231C8" w:rsidRPr="00B535CF">
        <w:rPr>
          <w:rFonts w:ascii="Arial" w:hAnsi="Arial" w:cs="Arial"/>
          <w:sz w:val="22"/>
          <w:szCs w:val="22"/>
        </w:rPr>
        <w:t>’</w:t>
      </w:r>
      <w:r w:rsidRPr="00B535CF">
        <w:rPr>
          <w:rFonts w:ascii="Arial" w:hAnsi="Arial" w:cs="Arial"/>
          <w:sz w:val="22"/>
          <w:szCs w:val="22"/>
        </w:rPr>
        <w:t xml:space="preserve"> records.</w:t>
      </w:r>
    </w:p>
    <w:p w14:paraId="030917FC" w14:textId="6F4CABCF" w:rsidR="00044905" w:rsidRPr="00B535CF" w:rsidRDefault="00965FEA" w:rsidP="0092476B">
      <w:pPr>
        <w:pStyle w:val="Heading2"/>
        <w:ind w:left="567"/>
        <w:rPr>
          <w:rFonts w:ascii="Arial" w:hAnsi="Arial" w:cs="Arial"/>
          <w:smallCaps w:val="0"/>
          <w:sz w:val="24"/>
          <w:szCs w:val="24"/>
          <w:lang w:val="en-GB"/>
        </w:rPr>
      </w:pPr>
      <w:bookmarkStart w:id="5" w:name="_Toc495852828"/>
      <w:bookmarkStart w:id="6" w:name="_Toc43131889"/>
      <w:bookmarkStart w:id="7" w:name="_Toc101348252"/>
      <w:r w:rsidRPr="00B535CF">
        <w:rPr>
          <w:rFonts w:ascii="Arial" w:hAnsi="Arial" w:cs="Arial"/>
          <w:smallCaps w:val="0"/>
          <w:sz w:val="24"/>
          <w:szCs w:val="24"/>
          <w:lang w:val="en-GB"/>
        </w:rPr>
        <w:t>S</w:t>
      </w:r>
      <w:r w:rsidR="00044905" w:rsidRPr="00B535CF">
        <w:rPr>
          <w:rFonts w:ascii="Arial" w:hAnsi="Arial" w:cs="Arial"/>
          <w:smallCaps w:val="0"/>
          <w:sz w:val="24"/>
          <w:szCs w:val="24"/>
          <w:lang w:val="en-GB"/>
        </w:rPr>
        <w:t>tatus</w:t>
      </w:r>
      <w:bookmarkEnd w:id="5"/>
      <w:bookmarkEnd w:id="6"/>
      <w:bookmarkEnd w:id="7"/>
    </w:p>
    <w:p w14:paraId="11B39A9B" w14:textId="77777777" w:rsidR="00807595" w:rsidRPr="00B535CF" w:rsidRDefault="00807595" w:rsidP="00044905">
      <w:pPr>
        <w:rPr>
          <w:rFonts w:ascii="Arial" w:hAnsi="Arial" w:cs="Arial"/>
          <w:sz w:val="22"/>
          <w:szCs w:val="22"/>
        </w:rPr>
      </w:pPr>
    </w:p>
    <w:p w14:paraId="4B003A53" w14:textId="77777777" w:rsidR="007412E4" w:rsidRPr="00B535CF" w:rsidRDefault="007412E4" w:rsidP="007412E4">
      <w:pPr>
        <w:rPr>
          <w:rFonts w:ascii="Arial" w:hAnsi="Arial" w:cs="Arial"/>
          <w:sz w:val="22"/>
          <w:szCs w:val="22"/>
        </w:rPr>
      </w:pPr>
      <w:r w:rsidRPr="00B535CF">
        <w:rPr>
          <w:rFonts w:ascii="Arial" w:hAnsi="Arial" w:cs="Arial"/>
          <w:sz w:val="22"/>
          <w:szCs w:val="22"/>
        </w:rPr>
        <w:t xml:space="preserve">The organisation aims to design and implement policies and procedures that meet the diverse needs of our service and workforce, ensuring that none are placed at a disadvantage over others, in accordance with the </w:t>
      </w:r>
      <w:hyperlink r:id="rId8" w:history="1">
        <w:r w:rsidRPr="00B535CF">
          <w:rPr>
            <w:rStyle w:val="Hyperlink"/>
            <w:rFonts w:ascii="Arial" w:eastAsiaTheme="majorEastAsia" w:hAnsi="Arial" w:cs="Arial"/>
            <w:sz w:val="22"/>
            <w:szCs w:val="22"/>
          </w:rPr>
          <w:t>Equality Act 2010</w:t>
        </w:r>
      </w:hyperlink>
      <w:r w:rsidRPr="00B535CF">
        <w:rPr>
          <w:rFonts w:ascii="Arial" w:hAnsi="Arial" w:cs="Arial"/>
          <w:sz w:val="22"/>
          <w:szCs w:val="22"/>
        </w:rPr>
        <w:t xml:space="preserve">. Consideration has been given to the impact this policy might have </w:t>
      </w:r>
      <w:proofErr w:type="gramStart"/>
      <w:r w:rsidRPr="00B535CF">
        <w:rPr>
          <w:rFonts w:ascii="Arial" w:hAnsi="Arial" w:cs="Arial"/>
          <w:sz w:val="22"/>
          <w:szCs w:val="22"/>
        </w:rPr>
        <w:t>with regard to</w:t>
      </w:r>
      <w:proofErr w:type="gramEnd"/>
      <w:r w:rsidRPr="00B535CF">
        <w:rPr>
          <w:rFonts w:ascii="Arial" w:hAnsi="Arial" w:cs="Arial"/>
          <w:sz w:val="22"/>
          <w:szCs w:val="22"/>
        </w:rPr>
        <w:t xml:space="preserve"> the individual protected characteristics of those to whom it applies.</w:t>
      </w:r>
    </w:p>
    <w:p w14:paraId="62CA565F" w14:textId="77777777" w:rsidR="007412E4" w:rsidRPr="00B535CF" w:rsidRDefault="007412E4" w:rsidP="007412E4">
      <w:pPr>
        <w:rPr>
          <w:rFonts w:ascii="Arial" w:hAnsi="Arial" w:cs="Arial"/>
          <w:sz w:val="22"/>
          <w:szCs w:val="22"/>
        </w:rPr>
      </w:pPr>
    </w:p>
    <w:p w14:paraId="57112214" w14:textId="2B0ACD00" w:rsidR="007412E4" w:rsidRPr="00B535CF" w:rsidRDefault="007412E4" w:rsidP="00044905">
      <w:pPr>
        <w:rPr>
          <w:rFonts w:ascii="Arial" w:hAnsi="Arial" w:cs="Arial"/>
          <w:sz w:val="22"/>
          <w:szCs w:val="22"/>
        </w:rPr>
      </w:pPr>
      <w:r w:rsidRPr="00B535CF">
        <w:rPr>
          <w:rFonts w:ascii="Arial" w:hAnsi="Arial" w:cs="Arial"/>
          <w:sz w:val="22"/>
          <w:szCs w:val="22"/>
        </w:rPr>
        <w:t>This document and any procedures contained within it are non-contractual and may be modified or withdrawn at any time. For the avoidance of doubt, it does not form part of your contract of employment.</w:t>
      </w:r>
    </w:p>
    <w:p w14:paraId="38D1B0B0" w14:textId="77777777" w:rsidR="005321E7" w:rsidRPr="00B535CF" w:rsidRDefault="005321E7" w:rsidP="0092476B">
      <w:pPr>
        <w:pStyle w:val="Heading2"/>
        <w:ind w:left="567"/>
        <w:rPr>
          <w:rFonts w:ascii="Arial" w:hAnsi="Arial" w:cs="Arial"/>
          <w:smallCaps w:val="0"/>
          <w:sz w:val="24"/>
          <w:szCs w:val="24"/>
          <w:lang w:val="en-GB"/>
        </w:rPr>
      </w:pPr>
      <w:bookmarkStart w:id="8" w:name="_Toc43131827"/>
      <w:bookmarkStart w:id="9" w:name="_Toc43131890"/>
      <w:bookmarkStart w:id="10" w:name="_Toc43131828"/>
      <w:bookmarkStart w:id="11" w:name="_Toc43131891"/>
      <w:bookmarkStart w:id="12" w:name="_Toc43131829"/>
      <w:bookmarkStart w:id="13" w:name="_Toc43131892"/>
      <w:bookmarkStart w:id="14" w:name="_Toc43131830"/>
      <w:bookmarkStart w:id="15" w:name="_Toc43131893"/>
      <w:bookmarkStart w:id="16" w:name="_Toc101348253"/>
      <w:bookmarkStart w:id="17" w:name="_Toc495852829"/>
      <w:bookmarkStart w:id="18" w:name="_Toc43131894"/>
      <w:bookmarkEnd w:id="8"/>
      <w:bookmarkEnd w:id="9"/>
      <w:bookmarkEnd w:id="10"/>
      <w:bookmarkEnd w:id="11"/>
      <w:bookmarkEnd w:id="12"/>
      <w:bookmarkEnd w:id="13"/>
      <w:bookmarkEnd w:id="14"/>
      <w:bookmarkEnd w:id="15"/>
      <w:r w:rsidRPr="00B535CF">
        <w:rPr>
          <w:rFonts w:ascii="Arial" w:hAnsi="Arial" w:cs="Arial"/>
          <w:smallCaps w:val="0"/>
          <w:sz w:val="24"/>
          <w:szCs w:val="24"/>
          <w:lang w:val="en-GB"/>
        </w:rPr>
        <w:t>KLOE</w:t>
      </w:r>
      <w:bookmarkEnd w:id="16"/>
    </w:p>
    <w:p w14:paraId="171DAA67" w14:textId="77777777" w:rsidR="005321E7" w:rsidRPr="00B535CF" w:rsidRDefault="005321E7" w:rsidP="005321E7">
      <w:pPr>
        <w:rPr>
          <w:rFonts w:ascii="Arial" w:hAnsi="Arial" w:cs="Arial"/>
          <w:sz w:val="22"/>
          <w:szCs w:val="22"/>
        </w:rPr>
      </w:pPr>
    </w:p>
    <w:p w14:paraId="0D372BEE" w14:textId="5320B43F" w:rsidR="005321E7" w:rsidRPr="00B535CF" w:rsidRDefault="005321E7" w:rsidP="005321E7">
      <w:pPr>
        <w:rPr>
          <w:rFonts w:ascii="Arial" w:hAnsi="Arial" w:cs="Arial"/>
          <w:sz w:val="22"/>
          <w:szCs w:val="22"/>
        </w:rPr>
      </w:pPr>
      <w:r w:rsidRPr="00B535CF">
        <w:rPr>
          <w:rFonts w:ascii="Arial" w:hAnsi="Arial" w:cs="Arial"/>
          <w:sz w:val="22"/>
          <w:szCs w:val="22"/>
        </w:rPr>
        <w:t>The Care Quality Commission</w:t>
      </w:r>
      <w:r w:rsidR="00A72725">
        <w:rPr>
          <w:rFonts w:ascii="Arial" w:hAnsi="Arial" w:cs="Arial"/>
          <w:sz w:val="22"/>
          <w:szCs w:val="22"/>
        </w:rPr>
        <w:t xml:space="preserve"> (CQC)</w:t>
      </w:r>
      <w:r w:rsidRPr="00B535CF">
        <w:rPr>
          <w:rFonts w:ascii="Arial" w:hAnsi="Arial" w:cs="Arial"/>
          <w:sz w:val="22"/>
          <w:szCs w:val="22"/>
        </w:rPr>
        <w:t xml:space="preserve"> would expect any primary care organisation to have a policy to support this process and </w:t>
      </w:r>
      <w:r w:rsidR="00F575D6" w:rsidRPr="00B535CF">
        <w:rPr>
          <w:rFonts w:ascii="Arial" w:hAnsi="Arial" w:cs="Arial"/>
          <w:sz w:val="22"/>
          <w:szCs w:val="22"/>
        </w:rPr>
        <w:t xml:space="preserve">this </w:t>
      </w:r>
      <w:r w:rsidRPr="00B535CF">
        <w:rPr>
          <w:rFonts w:ascii="Arial" w:hAnsi="Arial" w:cs="Arial"/>
          <w:sz w:val="22"/>
          <w:szCs w:val="22"/>
        </w:rPr>
        <w:t>should be used as evidence of compliance against CQC Key Lines of Enquiry (KLOE)</w:t>
      </w:r>
      <w:r w:rsidRPr="00B535CF">
        <w:rPr>
          <w:rFonts w:ascii="Arial" w:hAnsi="Arial" w:cs="Arial"/>
          <w:b/>
          <w:bCs/>
          <w:sz w:val="22"/>
          <w:szCs w:val="22"/>
          <w:vertAlign w:val="superscript"/>
        </w:rPr>
        <w:t>.</w:t>
      </w:r>
    </w:p>
    <w:p w14:paraId="189D02A2" w14:textId="77777777" w:rsidR="005321E7" w:rsidRPr="00B535CF" w:rsidRDefault="005321E7" w:rsidP="005321E7">
      <w:pPr>
        <w:rPr>
          <w:rFonts w:ascii="Arial" w:hAnsi="Arial" w:cs="Arial"/>
          <w:sz w:val="22"/>
          <w:szCs w:val="22"/>
        </w:rPr>
      </w:pPr>
    </w:p>
    <w:p w14:paraId="5A7ACB07" w14:textId="0A3956DE" w:rsidR="005321E7" w:rsidRPr="00B535CF" w:rsidRDefault="005321E7" w:rsidP="005321E7">
      <w:pPr>
        <w:rPr>
          <w:rFonts w:ascii="Arial" w:hAnsi="Arial" w:cs="Arial"/>
          <w:sz w:val="22"/>
          <w:szCs w:val="22"/>
        </w:rPr>
      </w:pPr>
      <w:r w:rsidRPr="00B535CF">
        <w:rPr>
          <w:rFonts w:ascii="Arial" w:hAnsi="Arial" w:cs="Arial"/>
          <w:sz w:val="22"/>
          <w:szCs w:val="22"/>
        </w:rPr>
        <w:t xml:space="preserve">Specifically, </w:t>
      </w:r>
      <w:r w:rsidR="004303FD">
        <w:rPr>
          <w:rFonts w:ascii="Arial" w:hAnsi="Arial" w:cs="Arial"/>
          <w:sz w:val="22"/>
          <w:szCs w:val="22"/>
        </w:rPr>
        <w:t>Grey Road Surgery</w:t>
      </w:r>
      <w:r w:rsidR="00F575D6" w:rsidRPr="00B535CF">
        <w:rPr>
          <w:rFonts w:ascii="Arial" w:hAnsi="Arial" w:cs="Arial"/>
          <w:sz w:val="22"/>
          <w:szCs w:val="22"/>
        </w:rPr>
        <w:t xml:space="preserve"> will need to answer CQC key q</w:t>
      </w:r>
      <w:r w:rsidRPr="00B535CF">
        <w:rPr>
          <w:rFonts w:ascii="Arial" w:hAnsi="Arial" w:cs="Arial"/>
          <w:sz w:val="22"/>
          <w:szCs w:val="22"/>
        </w:rPr>
        <w:t>uestions on “</w:t>
      </w:r>
      <w:r w:rsidR="00C40D63" w:rsidRPr="00B535CF">
        <w:rPr>
          <w:rFonts w:ascii="Arial" w:hAnsi="Arial" w:cs="Arial"/>
          <w:sz w:val="22"/>
          <w:szCs w:val="22"/>
        </w:rPr>
        <w:t>Effective</w:t>
      </w:r>
      <w:r w:rsidRPr="00B535CF">
        <w:rPr>
          <w:rFonts w:ascii="Arial" w:hAnsi="Arial" w:cs="Arial"/>
          <w:sz w:val="22"/>
          <w:szCs w:val="22"/>
        </w:rPr>
        <w:t xml:space="preserve">” and “Well-Led”. </w:t>
      </w:r>
    </w:p>
    <w:p w14:paraId="33CBC501" w14:textId="77777777" w:rsidR="005321E7" w:rsidRPr="00B535CF" w:rsidRDefault="005321E7" w:rsidP="005321E7">
      <w:pPr>
        <w:rPr>
          <w:rFonts w:ascii="Arial" w:hAnsi="Arial" w:cs="Arial"/>
          <w:sz w:val="22"/>
          <w:szCs w:val="22"/>
        </w:rPr>
      </w:pPr>
    </w:p>
    <w:p w14:paraId="2B517BB3" w14:textId="19D9EFA2" w:rsidR="005321E7" w:rsidRPr="00B535CF" w:rsidRDefault="005321E7" w:rsidP="005321E7">
      <w:pPr>
        <w:rPr>
          <w:rFonts w:ascii="Arial" w:hAnsi="Arial" w:cs="Arial"/>
          <w:sz w:val="22"/>
          <w:szCs w:val="22"/>
        </w:rPr>
      </w:pPr>
      <w:r w:rsidRPr="00B535CF">
        <w:rPr>
          <w:rFonts w:ascii="Arial" w:hAnsi="Arial" w:cs="Arial"/>
          <w:sz w:val="22"/>
          <w:szCs w:val="22"/>
        </w:rPr>
        <w:t xml:space="preserve">The following is the CQC definition of </w:t>
      </w:r>
      <w:r w:rsidR="00C40D63" w:rsidRPr="00B535CF">
        <w:rPr>
          <w:rFonts w:ascii="Arial" w:hAnsi="Arial" w:cs="Arial"/>
          <w:sz w:val="22"/>
          <w:szCs w:val="22"/>
        </w:rPr>
        <w:t>Effective</w:t>
      </w:r>
      <w:r w:rsidRPr="00B535CF">
        <w:rPr>
          <w:rFonts w:ascii="Arial" w:hAnsi="Arial" w:cs="Arial"/>
          <w:sz w:val="22"/>
          <w:szCs w:val="22"/>
        </w:rPr>
        <w:t>:</w:t>
      </w:r>
    </w:p>
    <w:p w14:paraId="70034EAD" w14:textId="77777777" w:rsidR="005321E7" w:rsidRPr="00B535CF" w:rsidRDefault="005321E7" w:rsidP="005321E7">
      <w:pPr>
        <w:rPr>
          <w:rFonts w:ascii="Arial" w:hAnsi="Arial" w:cs="Arial"/>
          <w:sz w:val="22"/>
          <w:szCs w:val="22"/>
        </w:rPr>
      </w:pPr>
    </w:p>
    <w:p w14:paraId="49EE3C15" w14:textId="192BAA60" w:rsidR="005321E7" w:rsidRPr="00B535CF" w:rsidRDefault="005321E7" w:rsidP="005321E7">
      <w:pPr>
        <w:rPr>
          <w:rFonts w:ascii="Arial" w:hAnsi="Arial" w:cs="Arial"/>
          <w:i/>
          <w:sz w:val="22"/>
          <w:szCs w:val="22"/>
        </w:rPr>
      </w:pPr>
      <w:r w:rsidRPr="00B535CF">
        <w:rPr>
          <w:rFonts w:ascii="Arial" w:hAnsi="Arial" w:cs="Arial"/>
          <w:i/>
          <w:sz w:val="22"/>
          <w:szCs w:val="22"/>
        </w:rPr>
        <w:t xml:space="preserve">By </w:t>
      </w:r>
      <w:r w:rsidR="00C40D63" w:rsidRPr="00B535CF">
        <w:rPr>
          <w:rFonts w:ascii="Arial" w:hAnsi="Arial" w:cs="Arial"/>
          <w:i/>
          <w:sz w:val="22"/>
          <w:szCs w:val="22"/>
        </w:rPr>
        <w:t>effective</w:t>
      </w:r>
      <w:r w:rsidRPr="00B535CF">
        <w:rPr>
          <w:rFonts w:ascii="Arial" w:hAnsi="Arial" w:cs="Arial"/>
          <w:i/>
          <w:sz w:val="22"/>
          <w:szCs w:val="22"/>
        </w:rPr>
        <w:t xml:space="preserve">, we mean </w:t>
      </w:r>
      <w:r w:rsidR="00C40D63" w:rsidRPr="00B535CF">
        <w:rPr>
          <w:rFonts w:ascii="Arial" w:hAnsi="Arial" w:cs="Arial"/>
          <w:i/>
          <w:sz w:val="22"/>
          <w:szCs w:val="22"/>
        </w:rPr>
        <w:t>people’s care</w:t>
      </w:r>
      <w:r w:rsidR="009566C7" w:rsidRPr="00B535CF">
        <w:rPr>
          <w:rFonts w:ascii="Arial" w:hAnsi="Arial" w:cs="Arial"/>
          <w:i/>
          <w:sz w:val="22"/>
          <w:szCs w:val="22"/>
        </w:rPr>
        <w:t xml:space="preserve">, treatment and support achieves good outcomes, promotes a good quality of </w:t>
      </w:r>
      <w:r w:rsidR="0085315B" w:rsidRPr="00B535CF">
        <w:rPr>
          <w:rFonts w:ascii="Arial" w:hAnsi="Arial" w:cs="Arial"/>
          <w:i/>
          <w:sz w:val="22"/>
          <w:szCs w:val="22"/>
        </w:rPr>
        <w:t>life</w:t>
      </w:r>
      <w:r w:rsidR="009566C7" w:rsidRPr="00B535CF">
        <w:rPr>
          <w:rFonts w:ascii="Arial" w:hAnsi="Arial" w:cs="Arial"/>
          <w:i/>
          <w:sz w:val="22"/>
          <w:szCs w:val="22"/>
        </w:rPr>
        <w:t xml:space="preserve"> and is based on the best available evidence</w:t>
      </w:r>
      <w:r w:rsidRPr="00B535CF">
        <w:rPr>
          <w:rFonts w:ascii="Arial" w:hAnsi="Arial" w:cs="Arial"/>
          <w:i/>
          <w:sz w:val="22"/>
          <w:szCs w:val="22"/>
        </w:rPr>
        <w:t>.</w:t>
      </w:r>
    </w:p>
    <w:p w14:paraId="33EE46CE" w14:textId="77777777" w:rsidR="005321E7" w:rsidRPr="00B535CF" w:rsidRDefault="005321E7" w:rsidP="005321E7">
      <w:pPr>
        <w:rPr>
          <w:rFonts w:ascii="Arial" w:hAnsi="Arial" w:cs="Arial"/>
          <w:sz w:val="22"/>
          <w:szCs w:val="22"/>
        </w:rPr>
      </w:pPr>
    </w:p>
    <w:tbl>
      <w:tblPr>
        <w:tblStyle w:val="TableGrid"/>
        <w:tblW w:w="0" w:type="auto"/>
        <w:tblInd w:w="-5" w:type="dxa"/>
        <w:tblLook w:val="04A0" w:firstRow="1" w:lastRow="0" w:firstColumn="1" w:lastColumn="0" w:noHBand="0" w:noVBand="1"/>
      </w:tblPr>
      <w:tblGrid>
        <w:gridCol w:w="1843"/>
        <w:gridCol w:w="6452"/>
      </w:tblGrid>
      <w:tr w:rsidR="005321E7" w:rsidRPr="00B535CF" w14:paraId="464A9A57" w14:textId="77777777" w:rsidTr="008D3980">
        <w:tc>
          <w:tcPr>
            <w:tcW w:w="1843" w:type="dxa"/>
            <w:shd w:val="clear" w:color="auto" w:fill="4472C4" w:themeFill="accent1"/>
            <w:vAlign w:val="center"/>
          </w:tcPr>
          <w:p w14:paraId="0C3DC6DF" w14:textId="244AFADB" w:rsidR="005321E7" w:rsidRPr="00B535CF" w:rsidRDefault="008D0A18" w:rsidP="008D3980">
            <w:pPr>
              <w:spacing w:before="120" w:after="120"/>
              <w:rPr>
                <w:rFonts w:ascii="Arial" w:hAnsi="Arial" w:cs="Arial"/>
                <w:b/>
                <w:bCs/>
                <w:color w:val="FFFFFF" w:themeColor="background1"/>
                <w:sz w:val="22"/>
                <w:szCs w:val="22"/>
              </w:rPr>
            </w:pPr>
            <w:r w:rsidRPr="00B535CF">
              <w:rPr>
                <w:rFonts w:ascii="Arial" w:hAnsi="Arial" w:cs="Arial"/>
                <w:b/>
                <w:bCs/>
                <w:color w:val="FFFFFF" w:themeColor="background1"/>
                <w:sz w:val="22"/>
                <w:szCs w:val="22"/>
              </w:rPr>
              <w:t xml:space="preserve">CQC </w:t>
            </w:r>
            <w:r w:rsidR="000F7443" w:rsidRPr="00B535CF">
              <w:rPr>
                <w:rFonts w:ascii="Arial" w:hAnsi="Arial" w:cs="Arial"/>
                <w:b/>
                <w:bCs/>
                <w:color w:val="FFFFFF" w:themeColor="background1"/>
                <w:sz w:val="22"/>
                <w:szCs w:val="22"/>
              </w:rPr>
              <w:t xml:space="preserve">KLOE </w:t>
            </w:r>
            <w:r w:rsidRPr="00B535CF">
              <w:rPr>
                <w:rFonts w:ascii="Arial" w:hAnsi="Arial" w:cs="Arial"/>
                <w:b/>
                <w:bCs/>
                <w:color w:val="FFFFFF" w:themeColor="background1"/>
                <w:sz w:val="22"/>
                <w:szCs w:val="22"/>
              </w:rPr>
              <w:t>E6</w:t>
            </w:r>
          </w:p>
        </w:tc>
        <w:tc>
          <w:tcPr>
            <w:tcW w:w="6452" w:type="dxa"/>
          </w:tcPr>
          <w:p w14:paraId="39031508" w14:textId="638055FF" w:rsidR="008D0A18" w:rsidRPr="00B535CF" w:rsidRDefault="008D0A18" w:rsidP="008D3980">
            <w:pPr>
              <w:spacing w:before="120" w:after="120"/>
              <w:rPr>
                <w:rFonts w:ascii="Arial" w:hAnsi="Arial" w:cs="Arial"/>
                <w:sz w:val="22"/>
                <w:szCs w:val="22"/>
              </w:rPr>
            </w:pPr>
            <w:r w:rsidRPr="00B535CF">
              <w:rPr>
                <w:rFonts w:ascii="Arial" w:hAnsi="Arial" w:cs="Arial"/>
                <w:sz w:val="22"/>
                <w:szCs w:val="22"/>
              </w:rPr>
              <w:t>Is consent to care and treatment always sought in line with legislation and guidance?</w:t>
            </w:r>
          </w:p>
        </w:tc>
      </w:tr>
    </w:tbl>
    <w:p w14:paraId="60B0D26C" w14:textId="77777777" w:rsidR="005321E7" w:rsidRPr="00B535CF" w:rsidRDefault="005321E7" w:rsidP="005321E7">
      <w:pPr>
        <w:rPr>
          <w:rFonts w:ascii="Arial" w:hAnsi="Arial" w:cs="Arial"/>
          <w:sz w:val="22"/>
          <w:szCs w:val="22"/>
        </w:rPr>
      </w:pPr>
    </w:p>
    <w:p w14:paraId="03DCF63C" w14:textId="3B33F174" w:rsidR="005321E7" w:rsidRPr="00B535CF" w:rsidRDefault="005321E7" w:rsidP="005321E7">
      <w:pPr>
        <w:rPr>
          <w:rFonts w:ascii="Arial" w:hAnsi="Arial" w:cs="Arial"/>
          <w:sz w:val="22"/>
          <w:szCs w:val="22"/>
        </w:rPr>
      </w:pPr>
      <w:r w:rsidRPr="00B535CF">
        <w:rPr>
          <w:rFonts w:ascii="Arial" w:hAnsi="Arial" w:cs="Arial"/>
          <w:sz w:val="22"/>
          <w:szCs w:val="22"/>
        </w:rPr>
        <w:t>The following is the CQC definition of Well-Led</w:t>
      </w:r>
      <w:r w:rsidR="00130102">
        <w:rPr>
          <w:rFonts w:ascii="Arial" w:hAnsi="Arial" w:cs="Arial"/>
          <w:sz w:val="22"/>
          <w:szCs w:val="22"/>
        </w:rPr>
        <w:t>:</w:t>
      </w:r>
    </w:p>
    <w:p w14:paraId="4EDF0AC7" w14:textId="77777777" w:rsidR="005321E7" w:rsidRPr="00B535CF" w:rsidRDefault="005321E7" w:rsidP="005321E7">
      <w:pPr>
        <w:rPr>
          <w:rFonts w:ascii="Arial" w:hAnsi="Arial" w:cs="Arial"/>
          <w:i/>
          <w:iCs/>
          <w:sz w:val="20"/>
          <w:szCs w:val="20"/>
        </w:rPr>
      </w:pPr>
    </w:p>
    <w:p w14:paraId="5DAD49DC" w14:textId="5A41B949" w:rsidR="005321E7" w:rsidRPr="00B535CF" w:rsidRDefault="005321E7" w:rsidP="005321E7">
      <w:pPr>
        <w:rPr>
          <w:rFonts w:ascii="Arial" w:hAnsi="Arial" w:cs="Arial"/>
          <w:i/>
          <w:iCs/>
          <w:sz w:val="22"/>
          <w:szCs w:val="22"/>
        </w:rPr>
      </w:pPr>
      <w:r w:rsidRPr="00B535CF">
        <w:rPr>
          <w:rFonts w:ascii="Arial" w:hAnsi="Arial" w:cs="Arial"/>
          <w:i/>
          <w:iCs/>
          <w:sz w:val="22"/>
          <w:szCs w:val="22"/>
        </w:rPr>
        <w:t xml:space="preserve">By well-led, we mean that the leadership, </w:t>
      </w:r>
      <w:r w:rsidR="00130102">
        <w:rPr>
          <w:rFonts w:ascii="Arial" w:hAnsi="Arial" w:cs="Arial"/>
          <w:i/>
          <w:iCs/>
          <w:sz w:val="22"/>
          <w:szCs w:val="22"/>
        </w:rPr>
        <w:t>management</w:t>
      </w:r>
      <w:r w:rsidRPr="00B535CF">
        <w:rPr>
          <w:rFonts w:ascii="Arial" w:hAnsi="Arial" w:cs="Arial"/>
          <w:i/>
          <w:iCs/>
          <w:sz w:val="22"/>
          <w:szCs w:val="22"/>
        </w:rPr>
        <w:t xml:space="preserve"> and governance of the organisation assures the delivery of high-quality and person-centred care, supports learning and </w:t>
      </w:r>
      <w:r w:rsidR="0085315B" w:rsidRPr="00B535CF">
        <w:rPr>
          <w:rFonts w:ascii="Arial" w:hAnsi="Arial" w:cs="Arial"/>
          <w:i/>
          <w:iCs/>
          <w:sz w:val="22"/>
          <w:szCs w:val="22"/>
        </w:rPr>
        <w:t>innovation</w:t>
      </w:r>
      <w:r w:rsidRPr="00B535CF">
        <w:rPr>
          <w:rFonts w:ascii="Arial" w:hAnsi="Arial" w:cs="Arial"/>
          <w:i/>
          <w:iCs/>
          <w:sz w:val="22"/>
          <w:szCs w:val="22"/>
        </w:rPr>
        <w:t xml:space="preserve"> and promotes an open and fair culture.</w:t>
      </w:r>
    </w:p>
    <w:p w14:paraId="5142FD77" w14:textId="77777777" w:rsidR="005321E7" w:rsidRPr="00B535CF" w:rsidRDefault="005321E7" w:rsidP="005321E7">
      <w:pPr>
        <w:rPr>
          <w:rFonts w:ascii="Arial" w:hAnsi="Arial" w:cs="Arial"/>
          <w:i/>
          <w:iCs/>
          <w:sz w:val="22"/>
          <w:szCs w:val="22"/>
        </w:rPr>
      </w:pPr>
    </w:p>
    <w:tbl>
      <w:tblPr>
        <w:tblStyle w:val="TableGrid"/>
        <w:tblW w:w="0" w:type="auto"/>
        <w:tblInd w:w="-5" w:type="dxa"/>
        <w:tblLook w:val="04A0" w:firstRow="1" w:lastRow="0" w:firstColumn="1" w:lastColumn="0" w:noHBand="0" w:noVBand="1"/>
      </w:tblPr>
      <w:tblGrid>
        <w:gridCol w:w="1843"/>
        <w:gridCol w:w="6452"/>
      </w:tblGrid>
      <w:tr w:rsidR="005321E7" w:rsidRPr="00B535CF" w14:paraId="4D287730" w14:textId="77777777" w:rsidTr="008D3980">
        <w:tc>
          <w:tcPr>
            <w:tcW w:w="1843" w:type="dxa"/>
            <w:shd w:val="clear" w:color="auto" w:fill="4472C4" w:themeFill="accent1"/>
            <w:vAlign w:val="center"/>
          </w:tcPr>
          <w:p w14:paraId="2811FD58" w14:textId="51A4ABB9" w:rsidR="005321E7" w:rsidRPr="00B535CF" w:rsidRDefault="00657050" w:rsidP="008D3980">
            <w:pPr>
              <w:spacing w:before="120" w:after="120"/>
              <w:rPr>
                <w:rFonts w:ascii="Arial" w:hAnsi="Arial" w:cs="Arial"/>
                <w:b/>
                <w:bCs/>
                <w:color w:val="FFFFFF" w:themeColor="background1"/>
                <w:sz w:val="22"/>
                <w:szCs w:val="22"/>
              </w:rPr>
            </w:pPr>
            <w:r w:rsidRPr="00B535CF">
              <w:rPr>
                <w:rFonts w:ascii="Arial" w:hAnsi="Arial" w:cs="Arial"/>
                <w:b/>
                <w:bCs/>
                <w:color w:val="FFFFFF" w:themeColor="background1"/>
                <w:sz w:val="22"/>
                <w:szCs w:val="22"/>
              </w:rPr>
              <w:t xml:space="preserve">CQC </w:t>
            </w:r>
            <w:r w:rsidR="000F7443" w:rsidRPr="00B535CF">
              <w:rPr>
                <w:rFonts w:ascii="Arial" w:hAnsi="Arial" w:cs="Arial"/>
                <w:b/>
                <w:bCs/>
                <w:color w:val="FFFFFF" w:themeColor="background1"/>
                <w:sz w:val="22"/>
                <w:szCs w:val="22"/>
              </w:rPr>
              <w:t xml:space="preserve">KLOE </w:t>
            </w:r>
            <w:r w:rsidRPr="00B535CF">
              <w:rPr>
                <w:rFonts w:ascii="Arial" w:hAnsi="Arial" w:cs="Arial"/>
                <w:b/>
                <w:bCs/>
                <w:color w:val="FFFFFF" w:themeColor="background1"/>
                <w:sz w:val="22"/>
                <w:szCs w:val="22"/>
              </w:rPr>
              <w:t>W4</w:t>
            </w:r>
          </w:p>
        </w:tc>
        <w:tc>
          <w:tcPr>
            <w:tcW w:w="6452" w:type="dxa"/>
          </w:tcPr>
          <w:p w14:paraId="5530D356" w14:textId="643AE5FB" w:rsidR="000F7443" w:rsidRPr="00B535CF" w:rsidRDefault="00657050" w:rsidP="00130102">
            <w:pPr>
              <w:spacing w:before="120" w:after="120"/>
              <w:rPr>
                <w:rFonts w:ascii="Arial" w:hAnsi="Arial" w:cs="Arial"/>
                <w:sz w:val="22"/>
                <w:szCs w:val="22"/>
              </w:rPr>
            </w:pPr>
            <w:r w:rsidRPr="00B535CF">
              <w:rPr>
                <w:rFonts w:ascii="Arial" w:hAnsi="Arial" w:cs="Arial"/>
                <w:sz w:val="22"/>
                <w:szCs w:val="22"/>
              </w:rPr>
              <w:t>Are the</w:t>
            </w:r>
            <w:r w:rsidR="00130102">
              <w:rPr>
                <w:rFonts w:ascii="Arial" w:hAnsi="Arial" w:cs="Arial"/>
                <w:sz w:val="22"/>
                <w:szCs w:val="22"/>
              </w:rPr>
              <w:t>re</w:t>
            </w:r>
            <w:r w:rsidRPr="00B535CF">
              <w:rPr>
                <w:rFonts w:ascii="Arial" w:hAnsi="Arial" w:cs="Arial"/>
                <w:sz w:val="22"/>
                <w:szCs w:val="22"/>
              </w:rPr>
              <w:t xml:space="preserve"> clear responsibilities, </w:t>
            </w:r>
            <w:r w:rsidR="0085315B" w:rsidRPr="00B535CF">
              <w:rPr>
                <w:rFonts w:ascii="Arial" w:hAnsi="Arial" w:cs="Arial"/>
                <w:sz w:val="22"/>
                <w:szCs w:val="22"/>
              </w:rPr>
              <w:t>roles</w:t>
            </w:r>
            <w:r w:rsidRPr="00B535CF">
              <w:rPr>
                <w:rFonts w:ascii="Arial" w:hAnsi="Arial" w:cs="Arial"/>
                <w:sz w:val="22"/>
                <w:szCs w:val="22"/>
              </w:rPr>
              <w:t xml:space="preserve"> and systems of accountability to support good governance and management?</w:t>
            </w:r>
          </w:p>
        </w:tc>
      </w:tr>
    </w:tbl>
    <w:p w14:paraId="75605CFD" w14:textId="5D713E77" w:rsidR="005321E7" w:rsidRPr="00B535CF" w:rsidRDefault="005321E7" w:rsidP="0092476B">
      <w:pPr>
        <w:pStyle w:val="Heading2"/>
        <w:ind w:left="567"/>
        <w:rPr>
          <w:rFonts w:ascii="Arial" w:hAnsi="Arial" w:cs="Arial"/>
          <w:smallCaps w:val="0"/>
          <w:sz w:val="24"/>
          <w:szCs w:val="24"/>
          <w:lang w:val="en-GB"/>
        </w:rPr>
      </w:pPr>
      <w:bookmarkStart w:id="19" w:name="_Toc101348254"/>
      <w:r w:rsidRPr="00B535CF">
        <w:rPr>
          <w:rFonts w:ascii="Arial" w:hAnsi="Arial" w:cs="Arial"/>
          <w:smallCaps w:val="0"/>
          <w:sz w:val="24"/>
          <w:szCs w:val="24"/>
          <w:lang w:val="en-GB"/>
        </w:rPr>
        <w:t>Training and support</w:t>
      </w:r>
      <w:bookmarkEnd w:id="19"/>
    </w:p>
    <w:bookmarkEnd w:id="17"/>
    <w:bookmarkEnd w:id="18"/>
    <w:p w14:paraId="75698322" w14:textId="31BD71FD" w:rsidR="00044905" w:rsidRPr="00B535CF" w:rsidRDefault="00044905" w:rsidP="00044905"/>
    <w:p w14:paraId="6BD8AAC2" w14:textId="36498324" w:rsidR="00044905" w:rsidRPr="00B535CF" w:rsidRDefault="00F454D3" w:rsidP="00044905">
      <w:pPr>
        <w:rPr>
          <w:rFonts w:ascii="Arial" w:hAnsi="Arial" w:cs="Arial"/>
          <w:sz w:val="22"/>
          <w:szCs w:val="22"/>
        </w:rPr>
      </w:pPr>
      <w:r w:rsidRPr="00B535CF">
        <w:rPr>
          <w:rFonts w:ascii="Arial" w:hAnsi="Arial" w:cs="Arial"/>
          <w:sz w:val="22"/>
          <w:szCs w:val="22"/>
        </w:rPr>
        <w:t xml:space="preserve">The </w:t>
      </w:r>
      <w:r w:rsidR="00F575D6" w:rsidRPr="00B535CF">
        <w:rPr>
          <w:rFonts w:ascii="Arial" w:hAnsi="Arial" w:cs="Arial"/>
          <w:sz w:val="22"/>
          <w:szCs w:val="22"/>
        </w:rPr>
        <w:t>organisation</w:t>
      </w:r>
      <w:r w:rsidR="00044905" w:rsidRPr="00B535CF">
        <w:rPr>
          <w:rFonts w:ascii="Arial" w:hAnsi="Arial" w:cs="Arial"/>
          <w:sz w:val="22"/>
          <w:szCs w:val="22"/>
        </w:rPr>
        <w:t xml:space="preserve"> will provide guidance and support to help those to whom it applies </w:t>
      </w:r>
      <w:r w:rsidR="00BD7A42" w:rsidRPr="00B535CF">
        <w:rPr>
          <w:rFonts w:ascii="Arial" w:hAnsi="Arial" w:cs="Arial"/>
          <w:sz w:val="22"/>
          <w:szCs w:val="22"/>
        </w:rPr>
        <w:t xml:space="preserve">to </w:t>
      </w:r>
      <w:r w:rsidR="00044905" w:rsidRPr="00B535CF">
        <w:rPr>
          <w:rFonts w:ascii="Arial" w:hAnsi="Arial" w:cs="Arial"/>
          <w:sz w:val="22"/>
          <w:szCs w:val="22"/>
        </w:rPr>
        <w:t>understand their rights and responsibilities unde</w:t>
      </w:r>
      <w:r w:rsidRPr="00B535CF">
        <w:rPr>
          <w:rFonts w:ascii="Arial" w:hAnsi="Arial" w:cs="Arial"/>
          <w:sz w:val="22"/>
          <w:szCs w:val="22"/>
        </w:rPr>
        <w:t xml:space="preserve">r this policy. </w:t>
      </w:r>
      <w:r w:rsidR="00044905" w:rsidRPr="00B535CF">
        <w:rPr>
          <w:rFonts w:ascii="Arial" w:hAnsi="Arial" w:cs="Arial"/>
          <w:sz w:val="22"/>
          <w:szCs w:val="22"/>
        </w:rPr>
        <w:t xml:space="preserve">Additional support will </w:t>
      </w:r>
      <w:r w:rsidR="00044905" w:rsidRPr="00B535CF">
        <w:rPr>
          <w:rFonts w:ascii="Arial" w:hAnsi="Arial" w:cs="Arial"/>
          <w:sz w:val="22"/>
          <w:szCs w:val="22"/>
        </w:rPr>
        <w:lastRenderedPageBreak/>
        <w:t>be provided to managers and supervisors to enable them to deal more effectively with matters arising from this policy.</w:t>
      </w:r>
    </w:p>
    <w:p w14:paraId="721BB49B" w14:textId="77777777" w:rsidR="00044905" w:rsidRPr="00B535CF" w:rsidRDefault="00044905" w:rsidP="00044905">
      <w:pPr>
        <w:pStyle w:val="Heading1"/>
        <w:keepLines/>
        <w:pBdr>
          <w:bottom w:val="single" w:sz="4" w:space="1" w:color="595959" w:themeColor="text1" w:themeTint="A6"/>
        </w:pBdr>
        <w:spacing w:before="360" w:after="160" w:line="259" w:lineRule="auto"/>
        <w:rPr>
          <w:sz w:val="28"/>
          <w:szCs w:val="28"/>
        </w:rPr>
      </w:pPr>
      <w:bookmarkStart w:id="20" w:name="_Toc495852830"/>
      <w:bookmarkStart w:id="21" w:name="_Toc43131895"/>
      <w:bookmarkStart w:id="22" w:name="_Toc101348255"/>
      <w:r w:rsidRPr="00B535CF">
        <w:rPr>
          <w:sz w:val="28"/>
          <w:szCs w:val="28"/>
        </w:rPr>
        <w:t>Scope</w:t>
      </w:r>
      <w:bookmarkEnd w:id="20"/>
      <w:bookmarkEnd w:id="21"/>
      <w:bookmarkEnd w:id="22"/>
    </w:p>
    <w:p w14:paraId="2BECA050" w14:textId="3D67D3C6" w:rsidR="00044905" w:rsidRPr="00B535CF" w:rsidRDefault="00F454D3" w:rsidP="0092476B">
      <w:pPr>
        <w:pStyle w:val="Heading2"/>
        <w:ind w:left="567"/>
        <w:rPr>
          <w:rFonts w:ascii="Arial" w:hAnsi="Arial" w:cs="Arial"/>
          <w:smallCaps w:val="0"/>
          <w:sz w:val="24"/>
          <w:szCs w:val="24"/>
          <w:lang w:val="en-GB"/>
        </w:rPr>
      </w:pPr>
      <w:bookmarkStart w:id="23" w:name="_Toc495852831"/>
      <w:bookmarkStart w:id="24" w:name="_Toc43131896"/>
      <w:bookmarkStart w:id="25" w:name="_Toc101348256"/>
      <w:r w:rsidRPr="00B535CF">
        <w:rPr>
          <w:rFonts w:ascii="Arial" w:hAnsi="Arial" w:cs="Arial"/>
          <w:smallCaps w:val="0"/>
          <w:sz w:val="24"/>
          <w:szCs w:val="24"/>
          <w:lang w:val="en-GB"/>
        </w:rPr>
        <w:t>W</w:t>
      </w:r>
      <w:r w:rsidR="00044905" w:rsidRPr="00B535CF">
        <w:rPr>
          <w:rFonts w:ascii="Arial" w:hAnsi="Arial" w:cs="Arial"/>
          <w:smallCaps w:val="0"/>
          <w:sz w:val="24"/>
          <w:szCs w:val="24"/>
          <w:lang w:val="en-GB"/>
        </w:rPr>
        <w:t xml:space="preserve">ho it applies </w:t>
      </w:r>
      <w:proofErr w:type="gramStart"/>
      <w:r w:rsidR="00044905" w:rsidRPr="00B535CF">
        <w:rPr>
          <w:rFonts w:ascii="Arial" w:hAnsi="Arial" w:cs="Arial"/>
          <w:smallCaps w:val="0"/>
          <w:sz w:val="24"/>
          <w:szCs w:val="24"/>
          <w:lang w:val="en-GB"/>
        </w:rPr>
        <w:t>to</w:t>
      </w:r>
      <w:bookmarkEnd w:id="23"/>
      <w:bookmarkEnd w:id="24"/>
      <w:bookmarkEnd w:id="25"/>
      <w:proofErr w:type="gramEnd"/>
    </w:p>
    <w:p w14:paraId="2FCED63C" w14:textId="77777777" w:rsidR="00044905" w:rsidRPr="00B535CF" w:rsidRDefault="00044905" w:rsidP="00044905"/>
    <w:p w14:paraId="2CFD85FA" w14:textId="0577FC08" w:rsidR="00807595" w:rsidRPr="00B535CF" w:rsidRDefault="00044905" w:rsidP="00044905">
      <w:pPr>
        <w:rPr>
          <w:rFonts w:ascii="Arial" w:hAnsi="Arial" w:cs="Arial"/>
          <w:sz w:val="22"/>
          <w:szCs w:val="22"/>
        </w:rPr>
      </w:pPr>
      <w:r w:rsidRPr="00B535CF">
        <w:rPr>
          <w:rFonts w:ascii="Arial" w:hAnsi="Arial" w:cs="Arial"/>
          <w:sz w:val="22"/>
          <w:szCs w:val="22"/>
        </w:rPr>
        <w:t>This document applies to all employees</w:t>
      </w:r>
      <w:r w:rsidR="00F454D3" w:rsidRPr="00B535CF">
        <w:rPr>
          <w:rFonts w:ascii="Arial" w:hAnsi="Arial" w:cs="Arial"/>
          <w:sz w:val="22"/>
          <w:szCs w:val="22"/>
        </w:rPr>
        <w:t xml:space="preserve">, </w:t>
      </w:r>
      <w:r w:rsidR="0085315B" w:rsidRPr="00B535CF">
        <w:rPr>
          <w:rFonts w:ascii="Arial" w:hAnsi="Arial" w:cs="Arial"/>
          <w:sz w:val="22"/>
          <w:szCs w:val="22"/>
        </w:rPr>
        <w:t>partners</w:t>
      </w:r>
      <w:r w:rsidRPr="00B535CF">
        <w:rPr>
          <w:rFonts w:ascii="Arial" w:hAnsi="Arial" w:cs="Arial"/>
          <w:sz w:val="22"/>
          <w:szCs w:val="22"/>
        </w:rPr>
        <w:t xml:space="preserve"> and directors of the</w:t>
      </w:r>
      <w:r w:rsidR="00680162" w:rsidRPr="00B535CF">
        <w:rPr>
          <w:rFonts w:ascii="Arial" w:hAnsi="Arial" w:cs="Arial"/>
          <w:sz w:val="22"/>
          <w:szCs w:val="22"/>
        </w:rPr>
        <w:t xml:space="preserve"> organisation</w:t>
      </w:r>
      <w:r w:rsidRPr="00B535CF">
        <w:rPr>
          <w:rFonts w:ascii="Arial" w:hAnsi="Arial" w:cs="Arial"/>
          <w:sz w:val="22"/>
          <w:szCs w:val="22"/>
        </w:rPr>
        <w:t xml:space="preserve">. Other individuals performing functions in relation to the </w:t>
      </w:r>
      <w:r w:rsidR="00680162" w:rsidRPr="00B535CF">
        <w:rPr>
          <w:rFonts w:ascii="Arial" w:hAnsi="Arial" w:cs="Arial"/>
          <w:sz w:val="22"/>
          <w:szCs w:val="22"/>
        </w:rPr>
        <w:t>organisation</w:t>
      </w:r>
      <w:r w:rsidRPr="00B535CF">
        <w:rPr>
          <w:rFonts w:ascii="Arial" w:hAnsi="Arial" w:cs="Arial"/>
          <w:sz w:val="22"/>
          <w:szCs w:val="22"/>
        </w:rPr>
        <w:t xml:space="preserve">, such as agency workers, </w:t>
      </w:r>
      <w:r w:rsidR="0085315B" w:rsidRPr="00B535CF">
        <w:rPr>
          <w:rFonts w:ascii="Arial" w:hAnsi="Arial" w:cs="Arial"/>
          <w:sz w:val="22"/>
          <w:szCs w:val="22"/>
        </w:rPr>
        <w:t>locums</w:t>
      </w:r>
      <w:r w:rsidRPr="00B535CF">
        <w:rPr>
          <w:rFonts w:ascii="Arial" w:hAnsi="Arial" w:cs="Arial"/>
          <w:sz w:val="22"/>
          <w:szCs w:val="22"/>
        </w:rPr>
        <w:t xml:space="preserve"> and contractors, are encouraged to use it.</w:t>
      </w:r>
    </w:p>
    <w:p w14:paraId="7A0EAEF4" w14:textId="77777777" w:rsidR="00790868" w:rsidRPr="00B535CF" w:rsidRDefault="00790868" w:rsidP="00044905">
      <w:pPr>
        <w:rPr>
          <w:rFonts w:ascii="Arial" w:hAnsi="Arial" w:cs="Arial"/>
          <w:sz w:val="22"/>
          <w:szCs w:val="22"/>
        </w:rPr>
      </w:pPr>
    </w:p>
    <w:p w14:paraId="5CBAEDEA" w14:textId="449743BE" w:rsidR="00077B69" w:rsidRPr="00B535CF" w:rsidRDefault="00077B69" w:rsidP="00044905">
      <w:pPr>
        <w:rPr>
          <w:rFonts w:ascii="Arial" w:hAnsi="Arial" w:cs="Arial"/>
          <w:sz w:val="22"/>
          <w:szCs w:val="22"/>
        </w:rPr>
      </w:pPr>
      <w:r w:rsidRPr="00B535CF">
        <w:rPr>
          <w:rFonts w:ascii="Arial" w:hAnsi="Arial" w:cs="Arial"/>
          <w:sz w:val="22"/>
          <w:szCs w:val="22"/>
        </w:rPr>
        <w:t xml:space="preserve">Furthermore, it also applies to clinicians who may or may not be employed by the organisation but </w:t>
      </w:r>
      <w:r w:rsidR="00BD7A42" w:rsidRPr="00B535CF">
        <w:rPr>
          <w:rFonts w:ascii="Arial" w:hAnsi="Arial" w:cs="Arial"/>
          <w:sz w:val="22"/>
          <w:szCs w:val="22"/>
        </w:rPr>
        <w:t xml:space="preserve">who are </w:t>
      </w:r>
      <w:r w:rsidRPr="00B535CF">
        <w:rPr>
          <w:rFonts w:ascii="Arial" w:hAnsi="Arial" w:cs="Arial"/>
          <w:sz w:val="22"/>
          <w:szCs w:val="22"/>
        </w:rPr>
        <w:t xml:space="preserve">working </w:t>
      </w:r>
      <w:r w:rsidRPr="00B535CF">
        <w:rPr>
          <w:rFonts w:ascii="Arial" w:hAnsi="Arial" w:cs="Arial"/>
          <w:color w:val="1C190F"/>
          <w:sz w:val="22"/>
          <w:szCs w:val="22"/>
        </w:rPr>
        <w:t>under the Additional Roles Reimbursement Scheme (ARRS)</w:t>
      </w:r>
      <w:r w:rsidR="00BD7A42" w:rsidRPr="00B535CF">
        <w:rPr>
          <w:rFonts w:ascii="Arial" w:hAnsi="Arial" w:cs="Arial"/>
          <w:color w:val="1C190F"/>
          <w:sz w:val="22"/>
          <w:szCs w:val="22"/>
        </w:rPr>
        <w:t>.</w:t>
      </w:r>
      <w:r w:rsidRPr="00B535CF">
        <w:rPr>
          <w:rStyle w:val="FootnoteReference"/>
          <w:rFonts w:ascii="Arial" w:eastAsiaTheme="majorEastAsia" w:hAnsi="Arial" w:cs="Arial"/>
          <w:color w:val="1C190F"/>
        </w:rPr>
        <w:footnoteReference w:id="1"/>
      </w:r>
    </w:p>
    <w:p w14:paraId="03B95DD3" w14:textId="74874743" w:rsidR="00B22E1E" w:rsidRPr="00B535CF" w:rsidRDefault="00F454D3" w:rsidP="0092476B">
      <w:pPr>
        <w:pStyle w:val="Heading2"/>
        <w:ind w:left="567"/>
        <w:rPr>
          <w:rFonts w:ascii="Arial" w:hAnsi="Arial" w:cs="Arial"/>
          <w:smallCaps w:val="0"/>
          <w:sz w:val="24"/>
          <w:szCs w:val="24"/>
          <w:lang w:val="en-GB"/>
        </w:rPr>
      </w:pPr>
      <w:bookmarkStart w:id="26" w:name="_Toc495852832"/>
      <w:bookmarkStart w:id="27" w:name="_Toc43131897"/>
      <w:bookmarkStart w:id="28" w:name="_Toc101348257"/>
      <w:r w:rsidRPr="00B535CF">
        <w:rPr>
          <w:rFonts w:ascii="Arial" w:hAnsi="Arial" w:cs="Arial"/>
          <w:smallCaps w:val="0"/>
          <w:sz w:val="24"/>
          <w:szCs w:val="24"/>
          <w:lang w:val="en-GB"/>
        </w:rPr>
        <w:t>W</w:t>
      </w:r>
      <w:r w:rsidR="00044905" w:rsidRPr="00B535CF">
        <w:rPr>
          <w:rFonts w:ascii="Arial" w:hAnsi="Arial" w:cs="Arial"/>
          <w:smallCaps w:val="0"/>
          <w:sz w:val="24"/>
          <w:szCs w:val="24"/>
          <w:lang w:val="en-GB"/>
        </w:rPr>
        <w:t xml:space="preserve">hy and how it applies to </w:t>
      </w:r>
      <w:bookmarkEnd w:id="26"/>
      <w:r w:rsidR="00807595" w:rsidRPr="00B535CF">
        <w:rPr>
          <w:rFonts w:ascii="Arial" w:hAnsi="Arial" w:cs="Arial"/>
          <w:smallCaps w:val="0"/>
          <w:sz w:val="24"/>
          <w:szCs w:val="24"/>
          <w:lang w:val="en-GB"/>
        </w:rPr>
        <w:t>them</w:t>
      </w:r>
      <w:bookmarkEnd w:id="27"/>
      <w:bookmarkEnd w:id="28"/>
    </w:p>
    <w:p w14:paraId="334DB673" w14:textId="77777777" w:rsidR="005F1775" w:rsidRPr="00B535CF" w:rsidRDefault="005F1775" w:rsidP="005F1775">
      <w:pPr>
        <w:rPr>
          <w:rFonts w:ascii="Arial" w:hAnsi="Arial" w:cs="Arial"/>
          <w:sz w:val="22"/>
          <w:szCs w:val="22"/>
          <w:lang w:eastAsia="en-US"/>
        </w:rPr>
      </w:pPr>
    </w:p>
    <w:p w14:paraId="6B8D4D73" w14:textId="37C98E5E" w:rsidR="005F1775" w:rsidRPr="00B535CF" w:rsidRDefault="00964341" w:rsidP="00964341">
      <w:pPr>
        <w:jc w:val="both"/>
        <w:rPr>
          <w:rFonts w:ascii="Arial" w:hAnsi="Arial" w:cs="Arial"/>
          <w:sz w:val="22"/>
          <w:szCs w:val="22"/>
        </w:rPr>
      </w:pPr>
      <w:r w:rsidRPr="00B535CF">
        <w:rPr>
          <w:rFonts w:ascii="Arial" w:hAnsi="Arial" w:cs="Arial"/>
          <w:sz w:val="22"/>
          <w:szCs w:val="22"/>
        </w:rPr>
        <w:t xml:space="preserve">This document has been produced to provide all staff at </w:t>
      </w:r>
      <w:r w:rsidR="004303FD" w:rsidRPr="004303FD">
        <w:rPr>
          <w:rFonts w:ascii="Arial" w:hAnsi="Arial" w:cs="Arial"/>
          <w:sz w:val="22"/>
          <w:szCs w:val="22"/>
        </w:rPr>
        <w:t xml:space="preserve">Grey Road Surgery </w:t>
      </w:r>
      <w:r w:rsidRPr="00B535CF">
        <w:rPr>
          <w:rFonts w:ascii="Arial" w:hAnsi="Arial" w:cs="Arial"/>
          <w:sz w:val="22"/>
          <w:szCs w:val="22"/>
        </w:rPr>
        <w:t>with the necessary information to ensure that they understand the processes around access to deceased patient</w:t>
      </w:r>
      <w:r w:rsidR="00130102">
        <w:rPr>
          <w:rFonts w:ascii="Arial" w:hAnsi="Arial" w:cs="Arial"/>
          <w:sz w:val="22"/>
          <w:szCs w:val="22"/>
        </w:rPr>
        <w:t>s’</w:t>
      </w:r>
      <w:r w:rsidRPr="00B535CF">
        <w:rPr>
          <w:rFonts w:ascii="Arial" w:hAnsi="Arial" w:cs="Arial"/>
          <w:sz w:val="22"/>
          <w:szCs w:val="22"/>
        </w:rPr>
        <w:t xml:space="preserve"> records in line with appropriate legislation.</w:t>
      </w:r>
    </w:p>
    <w:p w14:paraId="7654DD43" w14:textId="24FCB11B" w:rsidR="00631A5F" w:rsidRPr="00B535CF" w:rsidRDefault="00964341" w:rsidP="00631A5F">
      <w:pPr>
        <w:pStyle w:val="Heading1"/>
        <w:keepLines/>
        <w:pBdr>
          <w:bottom w:val="single" w:sz="4" w:space="1" w:color="595959" w:themeColor="text1" w:themeTint="A6"/>
        </w:pBdr>
        <w:spacing w:before="360" w:after="160" w:line="259" w:lineRule="auto"/>
        <w:rPr>
          <w:sz w:val="28"/>
          <w:szCs w:val="28"/>
        </w:rPr>
      </w:pPr>
      <w:bookmarkStart w:id="29" w:name="_Toc101348258"/>
      <w:r w:rsidRPr="00B535CF">
        <w:rPr>
          <w:sz w:val="28"/>
          <w:szCs w:val="28"/>
        </w:rPr>
        <w:t>Guidance</w:t>
      </w:r>
      <w:bookmarkEnd w:id="29"/>
    </w:p>
    <w:p w14:paraId="3761C219" w14:textId="77777777" w:rsidR="000427B3" w:rsidRPr="00B535CF" w:rsidRDefault="000427B3" w:rsidP="000427B3">
      <w:pPr>
        <w:jc w:val="both"/>
        <w:rPr>
          <w:rFonts w:ascii="Arial" w:hAnsi="Arial" w:cs="Arial"/>
          <w:sz w:val="22"/>
          <w:szCs w:val="22"/>
        </w:rPr>
      </w:pPr>
    </w:p>
    <w:p w14:paraId="5137BDDC" w14:textId="63059C61" w:rsidR="000427B3" w:rsidRPr="00B535CF" w:rsidRDefault="000427B3" w:rsidP="003D1C67">
      <w:pPr>
        <w:rPr>
          <w:rFonts w:ascii="Arial" w:hAnsi="Arial" w:cs="Arial"/>
          <w:sz w:val="22"/>
          <w:szCs w:val="22"/>
        </w:rPr>
      </w:pPr>
      <w:r w:rsidRPr="00B535CF">
        <w:rPr>
          <w:rFonts w:ascii="Arial" w:hAnsi="Arial" w:cs="Arial"/>
          <w:sz w:val="22"/>
          <w:szCs w:val="22"/>
        </w:rPr>
        <w:t>Access to a deceased person</w:t>
      </w:r>
      <w:r w:rsidR="00130102">
        <w:rPr>
          <w:rFonts w:ascii="Arial" w:hAnsi="Arial" w:cs="Arial"/>
          <w:sz w:val="22"/>
          <w:szCs w:val="22"/>
        </w:rPr>
        <w:t>’</w:t>
      </w:r>
      <w:r w:rsidRPr="00B535CF">
        <w:rPr>
          <w:rFonts w:ascii="Arial" w:hAnsi="Arial" w:cs="Arial"/>
          <w:sz w:val="22"/>
          <w:szCs w:val="22"/>
        </w:rPr>
        <w:t xml:space="preserve">s information is not dealt with under </w:t>
      </w:r>
      <w:hyperlink r:id="rId9" w:history="1">
        <w:r w:rsidRPr="00B535CF">
          <w:rPr>
            <w:rStyle w:val="Hyperlink"/>
            <w:rFonts w:ascii="Arial" w:hAnsi="Arial" w:cs="Arial"/>
            <w:sz w:val="22"/>
            <w:szCs w:val="22"/>
          </w:rPr>
          <w:t xml:space="preserve">the </w:t>
        </w:r>
        <w:r w:rsidR="003D1C67" w:rsidRPr="00B535CF">
          <w:rPr>
            <w:rStyle w:val="Hyperlink"/>
            <w:rFonts w:ascii="Arial" w:hAnsi="Arial" w:cs="Arial"/>
            <w:sz w:val="22"/>
            <w:szCs w:val="22"/>
          </w:rPr>
          <w:t xml:space="preserve">UK </w:t>
        </w:r>
        <w:r w:rsidRPr="00B535CF">
          <w:rPr>
            <w:rStyle w:val="Hyperlink"/>
            <w:rFonts w:ascii="Arial" w:hAnsi="Arial" w:cs="Arial"/>
            <w:sz w:val="22"/>
            <w:szCs w:val="22"/>
          </w:rPr>
          <w:t>General Data Protection Regulation</w:t>
        </w:r>
      </w:hyperlink>
      <w:r w:rsidRPr="00B535CF">
        <w:rPr>
          <w:rFonts w:ascii="Arial" w:hAnsi="Arial" w:cs="Arial"/>
          <w:sz w:val="22"/>
          <w:szCs w:val="22"/>
        </w:rPr>
        <w:t xml:space="preserve"> (</w:t>
      </w:r>
      <w:r w:rsidR="003D1C67" w:rsidRPr="00B535CF">
        <w:rPr>
          <w:rFonts w:ascii="Arial" w:hAnsi="Arial" w:cs="Arial"/>
          <w:sz w:val="22"/>
          <w:szCs w:val="22"/>
        </w:rPr>
        <w:t xml:space="preserve">UK </w:t>
      </w:r>
      <w:r w:rsidRPr="00B535CF">
        <w:rPr>
          <w:rFonts w:ascii="Arial" w:hAnsi="Arial" w:cs="Arial"/>
          <w:sz w:val="22"/>
          <w:szCs w:val="22"/>
        </w:rPr>
        <w:t xml:space="preserve">GDPR) or the </w:t>
      </w:r>
      <w:hyperlink r:id="rId10" w:history="1">
        <w:r w:rsidRPr="00B535CF">
          <w:rPr>
            <w:rStyle w:val="Hyperlink"/>
            <w:rFonts w:ascii="Arial" w:hAnsi="Arial" w:cs="Arial"/>
            <w:sz w:val="22"/>
            <w:szCs w:val="22"/>
          </w:rPr>
          <w:t>Data Protection Act 2018</w:t>
        </w:r>
      </w:hyperlink>
      <w:r w:rsidRPr="00B535CF">
        <w:rPr>
          <w:rFonts w:ascii="Arial" w:hAnsi="Arial" w:cs="Arial"/>
          <w:sz w:val="22"/>
          <w:szCs w:val="22"/>
        </w:rPr>
        <w:t>, as these laws refer to data about living individuals.  As such</w:t>
      </w:r>
      <w:r w:rsidR="00130102">
        <w:rPr>
          <w:rFonts w:ascii="Arial" w:hAnsi="Arial" w:cs="Arial"/>
          <w:sz w:val="22"/>
          <w:szCs w:val="22"/>
        </w:rPr>
        <w:t>,</w:t>
      </w:r>
      <w:r w:rsidRPr="00B535CF">
        <w:rPr>
          <w:rFonts w:ascii="Arial" w:hAnsi="Arial" w:cs="Arial"/>
          <w:sz w:val="22"/>
          <w:szCs w:val="22"/>
        </w:rPr>
        <w:t xml:space="preserve"> any request for a deceased person</w:t>
      </w:r>
      <w:r w:rsidR="00130102">
        <w:rPr>
          <w:rFonts w:ascii="Arial" w:hAnsi="Arial" w:cs="Arial"/>
          <w:sz w:val="22"/>
          <w:szCs w:val="22"/>
        </w:rPr>
        <w:t>’</w:t>
      </w:r>
      <w:r w:rsidRPr="00B535CF">
        <w:rPr>
          <w:rFonts w:ascii="Arial" w:hAnsi="Arial" w:cs="Arial"/>
          <w:sz w:val="22"/>
          <w:szCs w:val="22"/>
        </w:rPr>
        <w:t xml:space="preserve">s record is not a subject access request as deceased persons are not covered by </w:t>
      </w:r>
      <w:r w:rsidR="003D1C67" w:rsidRPr="00B535CF">
        <w:rPr>
          <w:rFonts w:ascii="Arial" w:hAnsi="Arial" w:cs="Arial"/>
          <w:sz w:val="22"/>
          <w:szCs w:val="22"/>
        </w:rPr>
        <w:t xml:space="preserve">UK </w:t>
      </w:r>
      <w:r w:rsidRPr="00B535CF">
        <w:rPr>
          <w:rFonts w:ascii="Arial" w:hAnsi="Arial" w:cs="Arial"/>
          <w:sz w:val="22"/>
          <w:szCs w:val="22"/>
        </w:rPr>
        <w:t xml:space="preserve">GDPR or any Data Protection law, past or present.  </w:t>
      </w:r>
    </w:p>
    <w:p w14:paraId="627B8014" w14:textId="77777777" w:rsidR="000427B3" w:rsidRPr="00B535CF" w:rsidRDefault="000427B3" w:rsidP="003D1C67">
      <w:pPr>
        <w:rPr>
          <w:rFonts w:ascii="Arial" w:hAnsi="Arial" w:cs="Arial"/>
          <w:sz w:val="22"/>
          <w:szCs w:val="22"/>
        </w:rPr>
      </w:pPr>
    </w:p>
    <w:p w14:paraId="36ED7355" w14:textId="54DDBEB6" w:rsidR="000427B3" w:rsidRPr="00B535CF" w:rsidRDefault="000427B3" w:rsidP="003D1C67">
      <w:pPr>
        <w:rPr>
          <w:rFonts w:ascii="Arial" w:hAnsi="Arial" w:cs="Arial"/>
          <w:sz w:val="22"/>
          <w:szCs w:val="22"/>
        </w:rPr>
      </w:pPr>
      <w:r w:rsidRPr="00B535CF">
        <w:rPr>
          <w:rFonts w:ascii="Arial" w:hAnsi="Arial" w:cs="Arial"/>
          <w:sz w:val="22"/>
          <w:szCs w:val="22"/>
        </w:rPr>
        <w:t xml:space="preserve">This will be an access request under the </w:t>
      </w:r>
      <w:hyperlink r:id="rId11" w:history="1">
        <w:r w:rsidRPr="00B535CF">
          <w:rPr>
            <w:rStyle w:val="Hyperlink"/>
            <w:rFonts w:ascii="Arial" w:hAnsi="Arial" w:cs="Arial"/>
            <w:sz w:val="22"/>
            <w:szCs w:val="22"/>
          </w:rPr>
          <w:t xml:space="preserve">Access to </w:t>
        </w:r>
        <w:r w:rsidR="00CF16DC" w:rsidRPr="00B535CF">
          <w:rPr>
            <w:rStyle w:val="Hyperlink"/>
            <w:rFonts w:ascii="Arial" w:hAnsi="Arial" w:cs="Arial"/>
            <w:sz w:val="22"/>
            <w:szCs w:val="22"/>
          </w:rPr>
          <w:t>Health</w:t>
        </w:r>
        <w:r w:rsidRPr="00B535CF">
          <w:rPr>
            <w:rStyle w:val="Hyperlink"/>
            <w:rFonts w:ascii="Arial" w:hAnsi="Arial" w:cs="Arial"/>
            <w:sz w:val="22"/>
            <w:szCs w:val="22"/>
          </w:rPr>
          <w:t xml:space="preserve"> Records Act 1990</w:t>
        </w:r>
      </w:hyperlink>
      <w:r w:rsidRPr="00B535CF">
        <w:rPr>
          <w:rFonts w:ascii="Arial" w:hAnsi="Arial" w:cs="Arial"/>
          <w:sz w:val="22"/>
          <w:szCs w:val="22"/>
        </w:rPr>
        <w:t>.  Th</w:t>
      </w:r>
      <w:r w:rsidR="00130102">
        <w:rPr>
          <w:rFonts w:ascii="Arial" w:hAnsi="Arial" w:cs="Arial"/>
          <w:sz w:val="22"/>
          <w:szCs w:val="22"/>
        </w:rPr>
        <w:t>is</w:t>
      </w:r>
      <w:r w:rsidRPr="00B535CF">
        <w:rPr>
          <w:rFonts w:ascii="Arial" w:hAnsi="Arial" w:cs="Arial"/>
          <w:sz w:val="22"/>
          <w:szCs w:val="22"/>
        </w:rPr>
        <w:t xml:space="preserve"> provides certain individuals with a right of access to the health records of a deceased individual.  However, there is still an ethical obligation to respect a patient’s confidentiality beyond death, </w:t>
      </w:r>
    </w:p>
    <w:p w14:paraId="4E6E4537" w14:textId="77777777" w:rsidR="000427B3" w:rsidRPr="00B535CF" w:rsidRDefault="000427B3" w:rsidP="003D1C67">
      <w:pPr>
        <w:rPr>
          <w:rFonts w:ascii="Arial" w:hAnsi="Arial" w:cs="Arial"/>
          <w:sz w:val="22"/>
          <w:szCs w:val="22"/>
        </w:rPr>
      </w:pPr>
    </w:p>
    <w:p w14:paraId="776237CD" w14:textId="23CDBD08" w:rsidR="000427B3" w:rsidRPr="00B535CF" w:rsidRDefault="000427B3" w:rsidP="003D1C67">
      <w:pPr>
        <w:rPr>
          <w:rFonts w:ascii="Arial" w:hAnsi="Arial" w:cs="Arial"/>
          <w:sz w:val="22"/>
          <w:szCs w:val="22"/>
        </w:rPr>
      </w:pPr>
      <w:r w:rsidRPr="00B535CF">
        <w:rPr>
          <w:rFonts w:ascii="Arial" w:hAnsi="Arial" w:cs="Arial"/>
          <w:sz w:val="22"/>
          <w:szCs w:val="22"/>
        </w:rPr>
        <w:t>Individuals who may gain access to a deceased person</w:t>
      </w:r>
      <w:r w:rsidR="00130102">
        <w:rPr>
          <w:rFonts w:ascii="Arial" w:hAnsi="Arial" w:cs="Arial"/>
          <w:sz w:val="22"/>
          <w:szCs w:val="22"/>
        </w:rPr>
        <w:t>’</w:t>
      </w:r>
      <w:r w:rsidRPr="00B535CF">
        <w:rPr>
          <w:rFonts w:ascii="Arial" w:hAnsi="Arial" w:cs="Arial"/>
          <w:sz w:val="22"/>
          <w:szCs w:val="22"/>
        </w:rPr>
        <w:t xml:space="preserve">s records are defined under Section 3 (1) (f) of the Access to </w:t>
      </w:r>
      <w:r w:rsidR="00CF16DC" w:rsidRPr="00B535CF">
        <w:rPr>
          <w:rFonts w:ascii="Arial" w:hAnsi="Arial" w:cs="Arial"/>
          <w:sz w:val="22"/>
          <w:szCs w:val="22"/>
        </w:rPr>
        <w:t>Health</w:t>
      </w:r>
      <w:r w:rsidRPr="00B535CF">
        <w:rPr>
          <w:rFonts w:ascii="Arial" w:hAnsi="Arial" w:cs="Arial"/>
          <w:sz w:val="22"/>
          <w:szCs w:val="22"/>
        </w:rPr>
        <w:t xml:space="preserve"> Records Act 1990 as</w:t>
      </w:r>
      <w:r w:rsidR="00130102">
        <w:rPr>
          <w:rFonts w:ascii="Arial" w:hAnsi="Arial" w:cs="Arial"/>
          <w:sz w:val="22"/>
          <w:szCs w:val="22"/>
        </w:rPr>
        <w:t xml:space="preserve"> “</w:t>
      </w:r>
      <w:r w:rsidRPr="00B535CF">
        <w:rPr>
          <w:rFonts w:ascii="Arial" w:hAnsi="Arial" w:cs="Arial"/>
          <w:sz w:val="22"/>
          <w:szCs w:val="22"/>
        </w:rPr>
        <w:t>the patient’s personal representative and any person who may have a claim arising out of the patient’s death</w:t>
      </w:r>
      <w:r w:rsidR="00130102">
        <w:rPr>
          <w:rFonts w:ascii="Arial" w:hAnsi="Arial" w:cs="Arial"/>
          <w:sz w:val="22"/>
          <w:szCs w:val="22"/>
        </w:rPr>
        <w:t>”</w:t>
      </w:r>
      <w:r w:rsidRPr="00B535CF">
        <w:rPr>
          <w:rFonts w:ascii="Arial" w:hAnsi="Arial" w:cs="Arial"/>
          <w:sz w:val="22"/>
          <w:szCs w:val="22"/>
        </w:rPr>
        <w:t xml:space="preserve">. A personal representative is the executor or administrator of the deceased person’s estate.  </w:t>
      </w:r>
    </w:p>
    <w:p w14:paraId="0E03B819" w14:textId="77777777" w:rsidR="000427B3" w:rsidRPr="00B535CF" w:rsidRDefault="000427B3" w:rsidP="000427B3">
      <w:pPr>
        <w:jc w:val="both"/>
        <w:rPr>
          <w:rFonts w:ascii="Arial" w:hAnsi="Arial" w:cs="Arial"/>
          <w:sz w:val="22"/>
          <w:szCs w:val="22"/>
        </w:rPr>
      </w:pPr>
    </w:p>
    <w:p w14:paraId="3FBA5E0A" w14:textId="0CD54870" w:rsidR="000427B3" w:rsidRDefault="000427B3" w:rsidP="00C07F3D">
      <w:pPr>
        <w:rPr>
          <w:rFonts w:ascii="Arial" w:hAnsi="Arial" w:cs="Arial"/>
          <w:sz w:val="22"/>
          <w:szCs w:val="22"/>
          <w:vertAlign w:val="superscript"/>
        </w:rPr>
      </w:pPr>
      <w:r w:rsidRPr="00B535CF">
        <w:rPr>
          <w:rFonts w:ascii="Arial" w:hAnsi="Arial" w:cs="Arial"/>
          <w:sz w:val="22"/>
          <w:szCs w:val="22"/>
        </w:rPr>
        <w:t>The BMA recently gave advice that</w:t>
      </w:r>
      <w:r w:rsidR="00A72725">
        <w:rPr>
          <w:rFonts w:ascii="Arial" w:hAnsi="Arial" w:cs="Arial"/>
          <w:sz w:val="22"/>
          <w:szCs w:val="22"/>
        </w:rPr>
        <w:t xml:space="preserve"> it was</w:t>
      </w:r>
      <w:r w:rsidRPr="00B535CF">
        <w:rPr>
          <w:rFonts w:ascii="Arial" w:hAnsi="Arial" w:cs="Arial"/>
          <w:sz w:val="22"/>
          <w:szCs w:val="22"/>
        </w:rPr>
        <w:t xml:space="preserve"> </w:t>
      </w:r>
      <w:r w:rsidR="004303FD" w:rsidRPr="00B535CF">
        <w:rPr>
          <w:rFonts w:ascii="Arial" w:hAnsi="Arial" w:cs="Arial"/>
          <w:sz w:val="22"/>
          <w:szCs w:val="22"/>
        </w:rPr>
        <w:t>“</w:t>
      </w:r>
      <w:r w:rsidR="004303FD">
        <w:rPr>
          <w:rFonts w:ascii="Arial" w:hAnsi="Arial" w:cs="Arial"/>
          <w:sz w:val="22"/>
          <w:szCs w:val="22"/>
        </w:rPr>
        <w:t>BMA’s</w:t>
      </w:r>
      <w:r w:rsidRPr="00B535CF">
        <w:rPr>
          <w:rFonts w:ascii="Arial" w:hAnsi="Arial" w:cs="Arial"/>
          <w:sz w:val="22"/>
          <w:szCs w:val="22"/>
        </w:rPr>
        <w:t xml:space="preserve"> opinion that under section 5 (4) of the Access to Health Records Act, no information which is not directly relevant to a claim should be disclosed to either the personal representative or any other person who may have a claim arising out of the patient’s death.”</w:t>
      </w:r>
      <w:r w:rsidR="002C0D56" w:rsidRPr="00B535CF">
        <w:rPr>
          <w:rFonts w:ascii="Arial" w:hAnsi="Arial" w:cs="Arial"/>
          <w:sz w:val="22"/>
          <w:szCs w:val="22"/>
          <w:vertAlign w:val="superscript"/>
        </w:rPr>
        <w:t>2</w:t>
      </w:r>
    </w:p>
    <w:p w14:paraId="6D48A4E9" w14:textId="16EB6FA4" w:rsidR="004303FD" w:rsidRDefault="004303FD" w:rsidP="00C07F3D">
      <w:pPr>
        <w:rPr>
          <w:rFonts w:ascii="Arial" w:hAnsi="Arial" w:cs="Arial"/>
          <w:sz w:val="22"/>
          <w:szCs w:val="22"/>
          <w:vertAlign w:val="superscript"/>
        </w:rPr>
      </w:pPr>
    </w:p>
    <w:p w14:paraId="612696C1" w14:textId="77777777" w:rsidR="004303FD" w:rsidRPr="00B535CF" w:rsidRDefault="004303FD" w:rsidP="00C07F3D">
      <w:pPr>
        <w:rPr>
          <w:rFonts w:ascii="Arial" w:hAnsi="Arial" w:cs="Arial"/>
          <w:sz w:val="22"/>
          <w:szCs w:val="22"/>
          <w:vertAlign w:val="superscript"/>
        </w:rPr>
      </w:pPr>
    </w:p>
    <w:p w14:paraId="6BB67FFE" w14:textId="3D24B196" w:rsidR="000427B3" w:rsidRPr="00B535CF" w:rsidRDefault="000427B3" w:rsidP="00451072">
      <w:pPr>
        <w:pStyle w:val="Heading2"/>
        <w:ind w:left="567"/>
        <w:rPr>
          <w:rFonts w:ascii="Arial" w:hAnsi="Arial" w:cs="Arial"/>
          <w:smallCaps w:val="0"/>
          <w:sz w:val="24"/>
          <w:szCs w:val="24"/>
          <w:lang w:val="en-GB"/>
        </w:rPr>
      </w:pPr>
      <w:bookmarkStart w:id="30" w:name="_Toc101348259"/>
      <w:r w:rsidRPr="00B535CF">
        <w:rPr>
          <w:rFonts w:ascii="Arial" w:hAnsi="Arial" w:cs="Arial"/>
          <w:smallCaps w:val="0"/>
          <w:sz w:val="24"/>
          <w:szCs w:val="24"/>
          <w:lang w:val="en-GB"/>
        </w:rPr>
        <w:lastRenderedPageBreak/>
        <w:t xml:space="preserve">Right of </w:t>
      </w:r>
      <w:r w:rsidR="000D72BA" w:rsidRPr="00B535CF">
        <w:rPr>
          <w:rFonts w:ascii="Arial" w:hAnsi="Arial" w:cs="Arial"/>
          <w:smallCaps w:val="0"/>
          <w:sz w:val="24"/>
          <w:szCs w:val="24"/>
          <w:lang w:val="en-GB"/>
        </w:rPr>
        <w:t>c</w:t>
      </w:r>
      <w:r w:rsidRPr="00B535CF">
        <w:rPr>
          <w:rFonts w:ascii="Arial" w:hAnsi="Arial" w:cs="Arial"/>
          <w:smallCaps w:val="0"/>
          <w:sz w:val="24"/>
          <w:szCs w:val="24"/>
          <w:lang w:val="en-GB"/>
        </w:rPr>
        <w:t xml:space="preserve">onfidentiality and </w:t>
      </w:r>
      <w:r w:rsidR="000D72BA" w:rsidRPr="00B535CF">
        <w:rPr>
          <w:rFonts w:ascii="Arial" w:hAnsi="Arial" w:cs="Arial"/>
          <w:smallCaps w:val="0"/>
          <w:sz w:val="24"/>
          <w:szCs w:val="24"/>
          <w:lang w:val="en-GB"/>
        </w:rPr>
        <w:t>d</w:t>
      </w:r>
      <w:r w:rsidRPr="00B535CF">
        <w:rPr>
          <w:rFonts w:ascii="Arial" w:hAnsi="Arial" w:cs="Arial"/>
          <w:smallCaps w:val="0"/>
          <w:sz w:val="24"/>
          <w:szCs w:val="24"/>
          <w:lang w:val="en-GB"/>
        </w:rPr>
        <w:t>isclosure</w:t>
      </w:r>
      <w:bookmarkEnd w:id="30"/>
    </w:p>
    <w:p w14:paraId="535935B9" w14:textId="77777777" w:rsidR="000427B3" w:rsidRPr="00B535CF" w:rsidRDefault="000427B3" w:rsidP="000427B3">
      <w:pPr>
        <w:rPr>
          <w:rFonts w:ascii="Arial" w:hAnsi="Arial" w:cs="Arial"/>
          <w:sz w:val="22"/>
          <w:szCs w:val="22"/>
        </w:rPr>
      </w:pPr>
    </w:p>
    <w:p w14:paraId="206EDD31" w14:textId="45D79019" w:rsidR="000427B3" w:rsidRPr="00130102" w:rsidRDefault="000427B3" w:rsidP="00C07F3D">
      <w:pPr>
        <w:ind w:right="-52"/>
        <w:rPr>
          <w:rFonts w:ascii="Arial" w:eastAsia=".SFNSText-Regular" w:hAnsi="Arial" w:cs="Arial"/>
          <w:bCs/>
          <w:sz w:val="22"/>
          <w:szCs w:val="22"/>
        </w:rPr>
      </w:pPr>
      <w:r w:rsidRPr="00130102">
        <w:rPr>
          <w:rFonts w:ascii="Arial" w:eastAsia=".SFNSText-Regular" w:hAnsi="Arial" w:cs="Arial"/>
          <w:bCs/>
          <w:sz w:val="22"/>
          <w:szCs w:val="22"/>
        </w:rPr>
        <w:t xml:space="preserve">Deceased patients retain the right of confidentiality. There are </w:t>
      </w:r>
      <w:proofErr w:type="gramStart"/>
      <w:r w:rsidRPr="00130102">
        <w:rPr>
          <w:rFonts w:ascii="Arial" w:eastAsia=".SFNSText-Regular" w:hAnsi="Arial" w:cs="Arial"/>
          <w:bCs/>
          <w:sz w:val="22"/>
          <w:szCs w:val="22"/>
        </w:rPr>
        <w:t>a number of</w:t>
      </w:r>
      <w:proofErr w:type="gramEnd"/>
      <w:r w:rsidRPr="00130102">
        <w:rPr>
          <w:rFonts w:ascii="Arial" w:eastAsia=".SFNSText-Regular" w:hAnsi="Arial" w:cs="Arial"/>
          <w:bCs/>
          <w:sz w:val="22"/>
          <w:szCs w:val="22"/>
        </w:rPr>
        <w:t xml:space="preserve"> considerations to be taken into account prior to disclosing the health record of a deceased patient. </w:t>
      </w:r>
      <w:r w:rsidR="00130102" w:rsidRPr="00130102">
        <w:rPr>
          <w:rFonts w:ascii="Arial" w:eastAsia=".SFNSText-Regular" w:hAnsi="Arial" w:cs="Arial"/>
          <w:bCs/>
          <w:sz w:val="22"/>
          <w:szCs w:val="22"/>
        </w:rPr>
        <w:t xml:space="preserve">Under the terms of </w:t>
      </w:r>
      <w:r w:rsidRPr="00130102">
        <w:rPr>
          <w:rFonts w:ascii="Arial" w:eastAsia=".SFNSText-Regular" w:hAnsi="Arial" w:cs="Arial"/>
          <w:bCs/>
          <w:sz w:val="22"/>
          <w:szCs w:val="22"/>
        </w:rPr>
        <w:t xml:space="preserve">the Access to </w:t>
      </w:r>
      <w:r w:rsidR="00CF16DC" w:rsidRPr="00130102">
        <w:rPr>
          <w:rFonts w:ascii="Arial" w:eastAsia=".SFNSText-Regular" w:hAnsi="Arial" w:cs="Arial"/>
          <w:bCs/>
          <w:sz w:val="22"/>
          <w:szCs w:val="22"/>
        </w:rPr>
        <w:t>Health</w:t>
      </w:r>
      <w:r w:rsidRPr="00130102">
        <w:rPr>
          <w:rFonts w:ascii="Arial" w:eastAsia=".SFNSText-Regular" w:hAnsi="Arial" w:cs="Arial"/>
          <w:bCs/>
          <w:sz w:val="22"/>
          <w:szCs w:val="22"/>
        </w:rPr>
        <w:t xml:space="preserve"> Records Act 1990</w:t>
      </w:r>
      <w:r w:rsidR="00130102">
        <w:rPr>
          <w:rFonts w:ascii="Arial" w:eastAsia=".SFNSText-Regular" w:hAnsi="Arial" w:cs="Arial"/>
          <w:bCs/>
          <w:sz w:val="22"/>
          <w:szCs w:val="22"/>
        </w:rPr>
        <w:t>,</w:t>
      </w:r>
      <w:r w:rsidR="00FC01DD">
        <w:rPr>
          <w:rFonts w:ascii="Arial" w:eastAsia=".SFNSText-Regular" w:hAnsi="Arial" w:cs="Arial"/>
          <w:bCs/>
          <w:sz w:val="22"/>
          <w:szCs w:val="22"/>
        </w:rPr>
        <w:t xml:space="preserve"> t</w:t>
      </w:r>
      <w:r w:rsidRPr="00130102">
        <w:rPr>
          <w:rFonts w:ascii="Arial" w:eastAsia=".SFNSText-Regular" w:hAnsi="Arial" w:cs="Arial"/>
          <w:bCs/>
          <w:sz w:val="22"/>
          <w:szCs w:val="22"/>
        </w:rPr>
        <w:t xml:space="preserve">his </w:t>
      </w:r>
      <w:r w:rsidR="00FC01DD">
        <w:rPr>
          <w:rFonts w:ascii="Arial" w:eastAsia=".SFNSText-Regular" w:hAnsi="Arial" w:cs="Arial"/>
          <w:bCs/>
          <w:sz w:val="22"/>
          <w:szCs w:val="22"/>
        </w:rPr>
        <w:t>organisation</w:t>
      </w:r>
      <w:r w:rsidRPr="00130102">
        <w:rPr>
          <w:rFonts w:ascii="Arial" w:eastAsia=".SFNSText-Regular" w:hAnsi="Arial" w:cs="Arial"/>
          <w:bCs/>
          <w:sz w:val="22"/>
          <w:szCs w:val="22"/>
        </w:rPr>
        <w:t xml:space="preserve"> will only grant access to either:</w:t>
      </w:r>
    </w:p>
    <w:p w14:paraId="58285241" w14:textId="77777777" w:rsidR="000427B3" w:rsidRPr="00130102" w:rsidRDefault="000427B3" w:rsidP="00C07F3D">
      <w:pPr>
        <w:ind w:right="240"/>
        <w:rPr>
          <w:rFonts w:ascii="Arial" w:eastAsia=".SFNSText-Regular" w:hAnsi="Arial" w:cs="Arial"/>
          <w:bCs/>
          <w:sz w:val="22"/>
          <w:szCs w:val="22"/>
        </w:rPr>
      </w:pPr>
    </w:p>
    <w:p w14:paraId="1DE85CF6" w14:textId="3FCBAE1F" w:rsidR="000427B3" w:rsidRPr="00130102" w:rsidRDefault="000427B3" w:rsidP="00C07F3D">
      <w:pPr>
        <w:pStyle w:val="ListParagraph"/>
        <w:numPr>
          <w:ilvl w:val="0"/>
          <w:numId w:val="39"/>
        </w:numPr>
        <w:ind w:right="-52"/>
        <w:rPr>
          <w:rFonts w:ascii="Arial" w:eastAsia=".SFNSText-Regular" w:hAnsi="Arial" w:cs="Arial"/>
          <w:bCs/>
          <w:lang w:eastAsia="en-GB"/>
        </w:rPr>
      </w:pPr>
      <w:r w:rsidRPr="00130102">
        <w:rPr>
          <w:rFonts w:ascii="Arial" w:eastAsia=".SFNSText-Regular" w:hAnsi="Arial" w:cs="Arial"/>
          <w:bCs/>
          <w:lang w:eastAsia="en-GB"/>
        </w:rPr>
        <w:t>A personal representative (</w:t>
      </w:r>
      <w:r w:rsidR="00130102" w:rsidRPr="00130102">
        <w:rPr>
          <w:rFonts w:ascii="Arial" w:eastAsia=".SFNSText-Regular" w:hAnsi="Arial" w:cs="Arial"/>
          <w:bCs/>
          <w:lang w:eastAsia="en-GB"/>
        </w:rPr>
        <w:t xml:space="preserve">the </w:t>
      </w:r>
      <w:r w:rsidRPr="00130102">
        <w:rPr>
          <w:rFonts w:ascii="Arial" w:eastAsia=".SFNSText-Regular" w:hAnsi="Arial" w:cs="Arial"/>
          <w:bCs/>
          <w:lang w:eastAsia="en-GB"/>
        </w:rPr>
        <w:t>executor of the deceased person’s estate); or</w:t>
      </w:r>
    </w:p>
    <w:p w14:paraId="7642F892" w14:textId="77777777" w:rsidR="000427B3" w:rsidRPr="00130102" w:rsidRDefault="000427B3" w:rsidP="00C07F3D">
      <w:pPr>
        <w:pStyle w:val="ListParagraph"/>
        <w:numPr>
          <w:ilvl w:val="0"/>
          <w:numId w:val="39"/>
        </w:numPr>
        <w:ind w:right="240"/>
        <w:rPr>
          <w:rFonts w:ascii="Arial" w:eastAsia=".SFNSText-Regular" w:hAnsi="Arial" w:cs="Arial"/>
          <w:bCs/>
          <w:lang w:eastAsia="en-GB"/>
        </w:rPr>
      </w:pPr>
      <w:r w:rsidRPr="00130102">
        <w:rPr>
          <w:rFonts w:ascii="Arial" w:eastAsia=".SFNSText-Regular" w:hAnsi="Arial" w:cs="Arial"/>
          <w:bCs/>
          <w:lang w:eastAsia="en-GB"/>
        </w:rPr>
        <w:t>Someone who has a claim resulting from the death</w:t>
      </w:r>
    </w:p>
    <w:p w14:paraId="0246E384" w14:textId="77777777" w:rsidR="000427B3" w:rsidRPr="00130102" w:rsidRDefault="000427B3" w:rsidP="00C07F3D">
      <w:pPr>
        <w:ind w:right="240"/>
        <w:rPr>
          <w:rFonts w:ascii="Arial" w:eastAsia=".SFNSText-Regular" w:hAnsi="Arial" w:cs="Arial"/>
          <w:bCs/>
          <w:sz w:val="22"/>
          <w:szCs w:val="22"/>
        </w:rPr>
      </w:pPr>
    </w:p>
    <w:p w14:paraId="2E4C7756" w14:textId="571BC529" w:rsidR="00B535CF" w:rsidRPr="00130102" w:rsidRDefault="000427B3" w:rsidP="00C07F3D">
      <w:pPr>
        <w:ind w:right="-52"/>
        <w:rPr>
          <w:rFonts w:ascii="Arial" w:eastAsia=".SFNSText-Regular" w:hAnsi="Arial" w:cs="Arial"/>
          <w:bCs/>
          <w:sz w:val="22"/>
          <w:szCs w:val="22"/>
        </w:rPr>
      </w:pPr>
      <w:r w:rsidRPr="00130102">
        <w:rPr>
          <w:rFonts w:ascii="Arial" w:eastAsia=".SFNSText-Regular" w:hAnsi="Arial" w:cs="Arial"/>
          <w:bCs/>
          <w:sz w:val="22"/>
          <w:szCs w:val="22"/>
        </w:rPr>
        <w:t xml:space="preserve">The medical records of the deceased will be passed to Primary Care Support England (PCSE) for storage. </w:t>
      </w:r>
      <w:r w:rsidR="00B535CF" w:rsidRPr="00130102">
        <w:rPr>
          <w:rFonts w:ascii="Arial" w:eastAsia=".SFNSText-Regular" w:hAnsi="Arial" w:cs="Arial"/>
          <w:bCs/>
          <w:sz w:val="22"/>
          <w:szCs w:val="22"/>
        </w:rPr>
        <w:t>This organisation</w:t>
      </w:r>
      <w:r w:rsidRPr="00130102">
        <w:rPr>
          <w:rFonts w:ascii="Arial" w:eastAsia=".SFNSText-Regular" w:hAnsi="Arial" w:cs="Arial"/>
          <w:bCs/>
          <w:sz w:val="22"/>
          <w:szCs w:val="22"/>
        </w:rPr>
        <w:t xml:space="preserve"> can advise who needs to be contacted in such instances. PCSE will retain the GP records of deceased patients for</w:t>
      </w:r>
      <w:r w:rsidR="001146DF">
        <w:rPr>
          <w:rFonts w:ascii="Arial" w:eastAsia=".SFNSText-Regular" w:hAnsi="Arial" w:cs="Arial"/>
          <w:bCs/>
          <w:sz w:val="22"/>
          <w:szCs w:val="22"/>
        </w:rPr>
        <w:t xml:space="preserve"> 10</w:t>
      </w:r>
      <w:r w:rsidRPr="00130102">
        <w:rPr>
          <w:rFonts w:ascii="Arial" w:eastAsia=".SFNSText-Regular" w:hAnsi="Arial" w:cs="Arial"/>
          <w:bCs/>
          <w:sz w:val="22"/>
          <w:szCs w:val="22"/>
        </w:rPr>
        <w:t xml:space="preserve"> years, after which time they will be destroyed. </w:t>
      </w:r>
    </w:p>
    <w:p w14:paraId="5C7E8DBF" w14:textId="77777777" w:rsidR="00B535CF" w:rsidRPr="00130102" w:rsidRDefault="00B535CF" w:rsidP="00C07F3D">
      <w:pPr>
        <w:ind w:right="-52"/>
        <w:rPr>
          <w:rFonts w:ascii="Arial" w:eastAsia=".SFNSText-Regular" w:hAnsi="Arial" w:cs="Arial"/>
          <w:bCs/>
          <w:sz w:val="22"/>
          <w:szCs w:val="22"/>
        </w:rPr>
      </w:pPr>
    </w:p>
    <w:p w14:paraId="7492F6C6" w14:textId="468AF8FB" w:rsidR="000427B3" w:rsidRPr="00130102" w:rsidRDefault="000427B3" w:rsidP="00C07F3D">
      <w:pPr>
        <w:ind w:right="-52"/>
        <w:rPr>
          <w:rFonts w:ascii="Arial" w:eastAsia=".SFNSText-Regular" w:hAnsi="Arial" w:cs="Arial"/>
          <w:bCs/>
          <w:sz w:val="22"/>
          <w:szCs w:val="22"/>
        </w:rPr>
      </w:pPr>
      <w:r w:rsidRPr="00130102">
        <w:rPr>
          <w:rFonts w:ascii="Arial" w:eastAsia=".SFNSText-Regular" w:hAnsi="Arial" w:cs="Arial"/>
          <w:bCs/>
          <w:sz w:val="22"/>
          <w:szCs w:val="22"/>
        </w:rPr>
        <w:t>PCSE has provided a</w:t>
      </w:r>
      <w:r w:rsidRPr="00B535CF">
        <w:rPr>
          <w:rFonts w:ascii="Arial" w:eastAsia=".SFNSText-Regular" w:hAnsi="Arial" w:cs="Arial"/>
          <w:bCs/>
          <w:color w:val="202A30"/>
          <w:sz w:val="22"/>
          <w:szCs w:val="22"/>
        </w:rPr>
        <w:t xml:space="preserve">n </w:t>
      </w:r>
      <w:hyperlink r:id="rId12" w:history="1">
        <w:r w:rsidRPr="00B535CF">
          <w:rPr>
            <w:rStyle w:val="Hyperlink"/>
            <w:rFonts w:ascii="Arial" w:eastAsia=".SFNSText-Regular" w:hAnsi="Arial" w:cs="Arial"/>
            <w:bCs/>
            <w:sz w:val="22"/>
            <w:szCs w:val="22"/>
          </w:rPr>
          <w:t>application form</w:t>
        </w:r>
      </w:hyperlink>
      <w:r w:rsidRPr="00B535CF">
        <w:rPr>
          <w:rFonts w:ascii="Arial" w:eastAsia=".SFNSText-Regular" w:hAnsi="Arial" w:cs="Arial"/>
          <w:bCs/>
          <w:color w:val="202A30"/>
          <w:sz w:val="22"/>
          <w:szCs w:val="22"/>
        </w:rPr>
        <w:t xml:space="preserve"> </w:t>
      </w:r>
      <w:r w:rsidRPr="00130102">
        <w:rPr>
          <w:rFonts w:ascii="Arial" w:eastAsia=".SFNSText-Regular" w:hAnsi="Arial" w:cs="Arial"/>
          <w:bCs/>
          <w:sz w:val="22"/>
          <w:szCs w:val="22"/>
        </w:rPr>
        <w:t>which can be used to request copies of a deceased patient’s record.</w:t>
      </w:r>
    </w:p>
    <w:p w14:paraId="4511F022" w14:textId="77777777" w:rsidR="000427B3" w:rsidRPr="00130102" w:rsidRDefault="000427B3" w:rsidP="00C07F3D">
      <w:pPr>
        <w:rPr>
          <w:rFonts w:ascii="Arial" w:hAnsi="Arial" w:cs="Arial"/>
          <w:sz w:val="22"/>
          <w:szCs w:val="22"/>
          <w:highlight w:val="cyan"/>
        </w:rPr>
      </w:pPr>
    </w:p>
    <w:p w14:paraId="5C362FFA" w14:textId="77777777" w:rsidR="000427B3" w:rsidRPr="00130102" w:rsidRDefault="000427B3" w:rsidP="00C07F3D">
      <w:pPr>
        <w:rPr>
          <w:rFonts w:ascii="Arial" w:hAnsi="Arial" w:cs="Arial"/>
          <w:sz w:val="22"/>
          <w:szCs w:val="22"/>
        </w:rPr>
      </w:pPr>
      <w:r w:rsidRPr="00130102">
        <w:rPr>
          <w:rFonts w:ascii="Arial" w:hAnsi="Arial" w:cs="Arial"/>
          <w:sz w:val="22"/>
          <w:szCs w:val="22"/>
        </w:rPr>
        <w:t>For providing a copy of a deceased patient’s medical records, a fee not exceeding the cost of making the copy and postal costs may be charged. This fee must be reasonable and fully justifiable.</w:t>
      </w:r>
      <w:r w:rsidRPr="00130102">
        <w:rPr>
          <w:rStyle w:val="FootnoteReference"/>
          <w:rFonts w:ascii="Arial" w:eastAsiaTheme="majorEastAsia" w:hAnsi="Arial" w:cs="Arial"/>
          <w:sz w:val="22"/>
          <w:szCs w:val="22"/>
        </w:rPr>
        <w:footnoteReference w:id="2"/>
      </w:r>
    </w:p>
    <w:p w14:paraId="25DB6BAE" w14:textId="43BD9D23" w:rsidR="000427B3" w:rsidRPr="00B535CF" w:rsidRDefault="000427B3" w:rsidP="0092476B">
      <w:pPr>
        <w:pStyle w:val="Heading2"/>
        <w:ind w:left="567"/>
        <w:rPr>
          <w:rFonts w:ascii="Arial" w:hAnsi="Arial" w:cs="Arial"/>
          <w:smallCaps w:val="0"/>
          <w:sz w:val="24"/>
          <w:szCs w:val="24"/>
          <w:lang w:val="en-GB"/>
        </w:rPr>
      </w:pPr>
      <w:bookmarkStart w:id="31" w:name="_Toc101348260"/>
      <w:r w:rsidRPr="00B535CF">
        <w:rPr>
          <w:rFonts w:ascii="Arial" w:hAnsi="Arial" w:cs="Arial"/>
          <w:smallCaps w:val="0"/>
          <w:sz w:val="24"/>
          <w:szCs w:val="24"/>
          <w:lang w:val="en-GB"/>
        </w:rPr>
        <w:t xml:space="preserve">Requester may have a </w:t>
      </w:r>
      <w:r w:rsidR="000D72BA" w:rsidRPr="00B535CF">
        <w:rPr>
          <w:rFonts w:ascii="Arial" w:hAnsi="Arial" w:cs="Arial"/>
          <w:smallCaps w:val="0"/>
          <w:sz w:val="24"/>
          <w:szCs w:val="24"/>
          <w:lang w:val="en-GB"/>
        </w:rPr>
        <w:t>c</w:t>
      </w:r>
      <w:r w:rsidRPr="00B535CF">
        <w:rPr>
          <w:rFonts w:ascii="Arial" w:hAnsi="Arial" w:cs="Arial"/>
          <w:smallCaps w:val="0"/>
          <w:sz w:val="24"/>
          <w:szCs w:val="24"/>
          <w:lang w:val="en-GB"/>
        </w:rPr>
        <w:t xml:space="preserve">laim </w:t>
      </w:r>
      <w:r w:rsidR="000D72BA" w:rsidRPr="00B535CF">
        <w:rPr>
          <w:rFonts w:ascii="Arial" w:hAnsi="Arial" w:cs="Arial"/>
          <w:smallCaps w:val="0"/>
          <w:sz w:val="24"/>
          <w:szCs w:val="24"/>
          <w:lang w:val="en-GB"/>
        </w:rPr>
        <w:t>a</w:t>
      </w:r>
      <w:r w:rsidRPr="00B535CF">
        <w:rPr>
          <w:rFonts w:ascii="Arial" w:hAnsi="Arial" w:cs="Arial"/>
          <w:smallCaps w:val="0"/>
          <w:sz w:val="24"/>
          <w:szCs w:val="24"/>
          <w:lang w:val="en-GB"/>
        </w:rPr>
        <w:t xml:space="preserve">rising from the </w:t>
      </w:r>
      <w:r w:rsidR="000D72BA" w:rsidRPr="00B535CF">
        <w:rPr>
          <w:rFonts w:ascii="Arial" w:hAnsi="Arial" w:cs="Arial"/>
          <w:smallCaps w:val="0"/>
          <w:sz w:val="24"/>
          <w:szCs w:val="24"/>
          <w:lang w:val="en-GB"/>
        </w:rPr>
        <w:t>d</w:t>
      </w:r>
      <w:r w:rsidRPr="00B535CF">
        <w:rPr>
          <w:rFonts w:ascii="Arial" w:hAnsi="Arial" w:cs="Arial"/>
          <w:smallCaps w:val="0"/>
          <w:sz w:val="24"/>
          <w:szCs w:val="24"/>
          <w:lang w:val="en-GB"/>
        </w:rPr>
        <w:t>eath</w:t>
      </w:r>
      <w:bookmarkEnd w:id="31"/>
    </w:p>
    <w:p w14:paraId="6DBEAE3A" w14:textId="77777777" w:rsidR="000427B3" w:rsidRPr="00B535CF" w:rsidRDefault="000427B3" w:rsidP="00C07F3D">
      <w:pPr>
        <w:rPr>
          <w:rFonts w:ascii="Arial" w:hAnsi="Arial" w:cs="Arial"/>
          <w:sz w:val="22"/>
          <w:szCs w:val="22"/>
        </w:rPr>
      </w:pPr>
    </w:p>
    <w:p w14:paraId="25A2F191" w14:textId="6A7CE083" w:rsidR="00CA1A9E" w:rsidRPr="001146DF" w:rsidRDefault="000427B3" w:rsidP="00C07F3D">
      <w:pPr>
        <w:rPr>
          <w:rFonts w:ascii="Arial" w:hAnsi="Arial" w:cs="Arial"/>
          <w:sz w:val="22"/>
          <w:szCs w:val="22"/>
        </w:rPr>
      </w:pPr>
      <w:r w:rsidRPr="001146DF">
        <w:rPr>
          <w:rFonts w:ascii="Arial" w:hAnsi="Arial" w:cs="Arial"/>
          <w:sz w:val="22"/>
          <w:szCs w:val="22"/>
        </w:rPr>
        <w:t>If it is believed the requestor has a claim arising from the death, the basic rule is that minimal information should be released to satisfy the claim, checking that the clinician would be happy with the requestor receiving this data, and if this balances with the rights of confidence.</w:t>
      </w:r>
    </w:p>
    <w:p w14:paraId="2F4BEA33" w14:textId="12B9ED55" w:rsidR="0092476B" w:rsidRPr="00B535CF" w:rsidRDefault="004C4989" w:rsidP="001A7A41">
      <w:pPr>
        <w:pStyle w:val="Heading1"/>
        <w:keepLines/>
        <w:pBdr>
          <w:bottom w:val="single" w:sz="4" w:space="1" w:color="595959" w:themeColor="text1" w:themeTint="A6"/>
        </w:pBdr>
        <w:spacing w:before="360" w:after="160" w:line="259" w:lineRule="auto"/>
        <w:rPr>
          <w:sz w:val="28"/>
          <w:szCs w:val="28"/>
        </w:rPr>
      </w:pPr>
      <w:bookmarkStart w:id="32" w:name="_Toc101348261"/>
      <w:r w:rsidRPr="00B535CF">
        <w:rPr>
          <w:sz w:val="28"/>
          <w:szCs w:val="28"/>
        </w:rPr>
        <w:t>Deceased</w:t>
      </w:r>
      <w:r w:rsidR="00C63C6A" w:rsidRPr="00B535CF">
        <w:rPr>
          <w:sz w:val="28"/>
          <w:szCs w:val="28"/>
        </w:rPr>
        <w:t xml:space="preserve"> patients’ health records – statutory explanations</w:t>
      </w:r>
      <w:bookmarkEnd w:id="32"/>
    </w:p>
    <w:p w14:paraId="5CD6F16D" w14:textId="77777777" w:rsidR="0092476B" w:rsidRPr="00B535CF" w:rsidRDefault="0092476B" w:rsidP="0092476B">
      <w:pPr>
        <w:pStyle w:val="Heading2"/>
        <w:ind w:left="567"/>
        <w:rPr>
          <w:rFonts w:ascii="Arial" w:hAnsi="Arial" w:cs="Arial"/>
          <w:smallCaps w:val="0"/>
          <w:sz w:val="24"/>
          <w:szCs w:val="24"/>
          <w:lang w:val="en-GB"/>
        </w:rPr>
      </w:pPr>
      <w:bookmarkStart w:id="33" w:name="_Toc101348262"/>
      <w:r w:rsidRPr="00B535CF">
        <w:rPr>
          <w:rFonts w:ascii="Arial" w:hAnsi="Arial" w:cs="Arial"/>
          <w:smallCaps w:val="0"/>
          <w:sz w:val="24"/>
          <w:szCs w:val="24"/>
          <w:lang w:val="en-GB"/>
        </w:rPr>
        <w:t>Access to Health Records Act 1990 (AHRA)</w:t>
      </w:r>
      <w:bookmarkEnd w:id="33"/>
    </w:p>
    <w:p w14:paraId="3CF8DCCE" w14:textId="77777777" w:rsidR="0092476B" w:rsidRPr="00B535CF" w:rsidRDefault="0092476B" w:rsidP="0092476B">
      <w:pPr>
        <w:pStyle w:val="PlainText"/>
        <w:rPr>
          <w:i/>
          <w:iCs/>
        </w:rPr>
      </w:pPr>
    </w:p>
    <w:p w14:paraId="323BAE7E" w14:textId="5F6789BD" w:rsidR="0092476B" w:rsidRPr="00B535CF" w:rsidRDefault="0092476B" w:rsidP="00C07F3D">
      <w:pPr>
        <w:pStyle w:val="PlainText"/>
        <w:rPr>
          <w:rFonts w:ascii="Arial" w:hAnsi="Arial" w:cs="Arial"/>
        </w:rPr>
      </w:pPr>
      <w:r w:rsidRPr="00B535CF">
        <w:rPr>
          <w:rFonts w:ascii="Arial" w:hAnsi="Arial" w:cs="Arial"/>
        </w:rPr>
        <w:t xml:space="preserve">The Access to Health Records Act 1990 (AHRA) provides a small cohort of people with a statutory right to apply for access to information contained within a deceased person’s health record. </w:t>
      </w:r>
    </w:p>
    <w:p w14:paraId="36A1E194" w14:textId="77777777" w:rsidR="0092476B" w:rsidRPr="00B535CF" w:rsidRDefault="0092476B" w:rsidP="00C07F3D">
      <w:pPr>
        <w:pStyle w:val="PlainText"/>
        <w:rPr>
          <w:rFonts w:ascii="Arial" w:hAnsi="Arial" w:cs="Arial"/>
        </w:rPr>
      </w:pPr>
      <w:r w:rsidRPr="00B535CF">
        <w:rPr>
          <w:rFonts w:ascii="Arial" w:hAnsi="Arial" w:cs="Arial"/>
        </w:rPr>
        <w:t xml:space="preserve"> </w:t>
      </w:r>
    </w:p>
    <w:p w14:paraId="2AB5905A" w14:textId="53A223E2" w:rsidR="0092476B" w:rsidRPr="00B535CF" w:rsidRDefault="0092476B" w:rsidP="00C07F3D">
      <w:pPr>
        <w:pStyle w:val="PlainText"/>
        <w:rPr>
          <w:rFonts w:ascii="Arial" w:hAnsi="Arial" w:cs="Arial"/>
        </w:rPr>
      </w:pPr>
      <w:r w:rsidRPr="00B535CF">
        <w:rPr>
          <w:rFonts w:ascii="Arial" w:hAnsi="Arial" w:cs="Arial"/>
        </w:rPr>
        <w:t xml:space="preserve">There may be circumstances where individuals who do not have a statutory right of access under </w:t>
      </w:r>
      <w:r w:rsidR="001146DF">
        <w:rPr>
          <w:rFonts w:ascii="Arial" w:hAnsi="Arial" w:cs="Arial"/>
        </w:rPr>
        <w:t xml:space="preserve">the </w:t>
      </w:r>
      <w:r w:rsidRPr="00B535CF">
        <w:rPr>
          <w:rFonts w:ascii="Arial" w:hAnsi="Arial" w:cs="Arial"/>
        </w:rPr>
        <w:t xml:space="preserve">AHRA request access to a deceased patient’s record.  Current legal advice is that the Courts would accept that confidentiality obligations owed by health professionals continue after </w:t>
      </w:r>
      <w:r w:rsidR="00392FE6" w:rsidRPr="00B535CF">
        <w:rPr>
          <w:rFonts w:ascii="Arial" w:hAnsi="Arial" w:cs="Arial"/>
        </w:rPr>
        <w:t>death. The</w:t>
      </w:r>
      <w:r w:rsidRPr="00B535CF">
        <w:rPr>
          <w:rFonts w:ascii="Arial" w:hAnsi="Arial" w:cs="Arial"/>
        </w:rPr>
        <w:t xml:space="preserve"> Department of Health, General Medical Council and other clinical professional bodies have long accepted that the duty of confidentiality continues beyond </w:t>
      </w:r>
      <w:r w:rsidR="00392FE6" w:rsidRPr="00B535CF">
        <w:rPr>
          <w:rFonts w:ascii="Arial" w:hAnsi="Arial" w:cs="Arial"/>
        </w:rPr>
        <w:t>death,</w:t>
      </w:r>
      <w:r w:rsidRPr="00B535CF">
        <w:rPr>
          <w:rFonts w:ascii="Arial" w:hAnsi="Arial" w:cs="Arial"/>
        </w:rPr>
        <w:t xml:space="preserve"> and this is reflected in the guidance they produce.  In these circumstances</w:t>
      </w:r>
      <w:r w:rsidR="001146DF">
        <w:rPr>
          <w:rFonts w:ascii="Arial" w:hAnsi="Arial" w:cs="Arial"/>
        </w:rPr>
        <w:t>,</w:t>
      </w:r>
      <w:r w:rsidRPr="00B535CF">
        <w:rPr>
          <w:rFonts w:ascii="Arial" w:hAnsi="Arial" w:cs="Arial"/>
        </w:rPr>
        <w:t xml:space="preserve"> the general rules that apply to the disclosure of confidential patient information should determine whether a disclosure is appropriate and lawful. Requests should be considered on a case-by-case basis and not simply rejected.  </w:t>
      </w:r>
    </w:p>
    <w:p w14:paraId="126F91DB" w14:textId="77777777" w:rsidR="0092476B" w:rsidRPr="00B535CF" w:rsidRDefault="0092476B" w:rsidP="00C07F3D">
      <w:pPr>
        <w:pStyle w:val="PlainText"/>
        <w:rPr>
          <w:rFonts w:ascii="Arial" w:hAnsi="Arial" w:cs="Arial"/>
        </w:rPr>
      </w:pPr>
      <w:r w:rsidRPr="00B535CF">
        <w:rPr>
          <w:rFonts w:ascii="Arial" w:hAnsi="Arial" w:cs="Arial"/>
        </w:rPr>
        <w:t xml:space="preserve"> </w:t>
      </w:r>
    </w:p>
    <w:p w14:paraId="5D3B4B22" w14:textId="03FA042C" w:rsidR="0092476B" w:rsidRPr="00B535CF" w:rsidRDefault="0092476B" w:rsidP="00C07F3D">
      <w:pPr>
        <w:pStyle w:val="PlainText"/>
        <w:rPr>
          <w:rFonts w:ascii="Arial" w:hAnsi="Arial" w:cs="Arial"/>
        </w:rPr>
      </w:pPr>
      <w:r w:rsidRPr="00B535CF">
        <w:rPr>
          <w:rFonts w:ascii="Arial" w:hAnsi="Arial" w:cs="Arial"/>
        </w:rPr>
        <w:t xml:space="preserve">There </w:t>
      </w:r>
      <w:r w:rsidR="001146DF">
        <w:rPr>
          <w:rFonts w:ascii="Arial" w:hAnsi="Arial" w:cs="Arial"/>
        </w:rPr>
        <w:t>is</w:t>
      </w:r>
      <w:r w:rsidRPr="00B535CF">
        <w:rPr>
          <w:rFonts w:ascii="Arial" w:hAnsi="Arial" w:cs="Arial"/>
        </w:rPr>
        <w:t xml:space="preserve"> also a range of public bodies that have lawful authority to require the disclosure of health information. These include the Courts, legally constituted Public </w:t>
      </w:r>
      <w:r w:rsidRPr="00B535CF">
        <w:rPr>
          <w:rFonts w:ascii="Arial" w:hAnsi="Arial" w:cs="Arial"/>
        </w:rPr>
        <w:lastRenderedPageBreak/>
        <w:t xml:space="preserve">Inquiries and various Regulators and Commissions </w:t>
      </w:r>
      <w:r w:rsidR="00392FE6" w:rsidRPr="00B535CF">
        <w:rPr>
          <w:rFonts w:ascii="Arial" w:hAnsi="Arial" w:cs="Arial"/>
        </w:rPr>
        <w:t>e.g.,</w:t>
      </w:r>
      <w:r w:rsidRPr="00B535CF">
        <w:rPr>
          <w:rFonts w:ascii="Arial" w:hAnsi="Arial" w:cs="Arial"/>
        </w:rPr>
        <w:t xml:space="preserve"> the Audit Commission and the Care Quality Commission. In these </w:t>
      </w:r>
      <w:r w:rsidR="00392FE6" w:rsidRPr="00B535CF">
        <w:rPr>
          <w:rFonts w:ascii="Arial" w:hAnsi="Arial" w:cs="Arial"/>
        </w:rPr>
        <w:t>cases,</w:t>
      </w:r>
      <w:r w:rsidRPr="00B535CF">
        <w:rPr>
          <w:rFonts w:ascii="Arial" w:hAnsi="Arial" w:cs="Arial"/>
        </w:rPr>
        <w:t xml:space="preserve"> the common law obligation to confidentiality is overridden.   </w:t>
      </w:r>
    </w:p>
    <w:p w14:paraId="46BE499E" w14:textId="77777777" w:rsidR="0092476B" w:rsidRPr="00B535CF" w:rsidRDefault="0092476B" w:rsidP="00C07F3D">
      <w:pPr>
        <w:pStyle w:val="PlainText"/>
        <w:rPr>
          <w:rFonts w:ascii="Arial" w:hAnsi="Arial" w:cs="Arial"/>
        </w:rPr>
      </w:pPr>
      <w:r w:rsidRPr="00B535CF">
        <w:rPr>
          <w:rFonts w:ascii="Arial" w:hAnsi="Arial" w:cs="Arial"/>
        </w:rPr>
        <w:t xml:space="preserve"> </w:t>
      </w:r>
    </w:p>
    <w:p w14:paraId="0D1B0C51" w14:textId="7AAFF5E5" w:rsidR="0092476B" w:rsidRPr="00B535CF" w:rsidRDefault="0092476B" w:rsidP="00C07F3D">
      <w:pPr>
        <w:pStyle w:val="PlainText"/>
        <w:rPr>
          <w:rFonts w:ascii="Arial" w:hAnsi="Arial" w:cs="Arial"/>
        </w:rPr>
      </w:pPr>
      <w:r w:rsidRPr="00B535CF">
        <w:rPr>
          <w:rFonts w:ascii="Arial" w:hAnsi="Arial" w:cs="Arial"/>
        </w:rPr>
        <w:t>The Access to Health Records Act (AHRA) 1990 provides certain individuals with a right of access to the health records of a deceased individual. These individuals are defined under Sec</w:t>
      </w:r>
      <w:r w:rsidR="001146DF">
        <w:rPr>
          <w:rFonts w:ascii="Arial" w:hAnsi="Arial" w:cs="Arial"/>
        </w:rPr>
        <w:t>tion 3 (1) (f) of that Act as, “</w:t>
      </w:r>
      <w:r w:rsidRPr="00B535CF">
        <w:rPr>
          <w:rFonts w:ascii="Arial" w:hAnsi="Arial" w:cs="Arial"/>
        </w:rPr>
        <w:t>the patient’s personal representative and any person who may have a claim arising out of the patient’s death</w:t>
      </w:r>
      <w:r w:rsidR="001146DF">
        <w:rPr>
          <w:rFonts w:ascii="Arial" w:hAnsi="Arial" w:cs="Arial"/>
        </w:rPr>
        <w:t>”</w:t>
      </w:r>
      <w:r w:rsidRPr="00B535CF">
        <w:rPr>
          <w:rFonts w:ascii="Arial" w:hAnsi="Arial" w:cs="Arial"/>
        </w:rPr>
        <w:t xml:space="preserve">. A personal representative is the executor or administrator of the deceased person’s estate.  </w:t>
      </w:r>
    </w:p>
    <w:p w14:paraId="61B431B3" w14:textId="77777777" w:rsidR="0092476B" w:rsidRPr="00B535CF" w:rsidRDefault="0092476B" w:rsidP="00C07F3D">
      <w:pPr>
        <w:pStyle w:val="PlainText"/>
        <w:rPr>
          <w:rFonts w:ascii="Arial" w:hAnsi="Arial" w:cs="Arial"/>
        </w:rPr>
      </w:pPr>
      <w:r w:rsidRPr="00B535CF">
        <w:rPr>
          <w:rFonts w:ascii="Arial" w:hAnsi="Arial" w:cs="Arial"/>
        </w:rPr>
        <w:t xml:space="preserve"> </w:t>
      </w:r>
    </w:p>
    <w:p w14:paraId="58E39BA8" w14:textId="084ADD8E" w:rsidR="0092476B" w:rsidRPr="00B535CF" w:rsidRDefault="0092476B" w:rsidP="00C07F3D">
      <w:pPr>
        <w:pStyle w:val="PlainText"/>
        <w:rPr>
          <w:rFonts w:ascii="Arial" w:hAnsi="Arial" w:cs="Arial"/>
        </w:rPr>
      </w:pPr>
      <w:r w:rsidRPr="00B535CF">
        <w:rPr>
          <w:rFonts w:ascii="Arial" w:hAnsi="Arial" w:cs="Arial"/>
        </w:rPr>
        <w:t>The personal representative is the only person who has an unqualified right of access to a deceased patient’s record and need give no reason for applying for access to a record.  Individuals other than the personal representative have a legal right of access under the Act only whe</w:t>
      </w:r>
      <w:r w:rsidR="001146DF">
        <w:rPr>
          <w:rFonts w:ascii="Arial" w:hAnsi="Arial" w:cs="Arial"/>
        </w:rPr>
        <w:t>n</w:t>
      </w:r>
      <w:r w:rsidRPr="00B535CF">
        <w:rPr>
          <w:rFonts w:ascii="Arial" w:hAnsi="Arial" w:cs="Arial"/>
        </w:rPr>
        <w:t xml:space="preserve"> they can establish a claim arising from a patient’s death. </w:t>
      </w:r>
    </w:p>
    <w:p w14:paraId="2ED770FF" w14:textId="77777777" w:rsidR="0092476B" w:rsidRPr="00B535CF" w:rsidRDefault="0092476B" w:rsidP="00C07F3D">
      <w:pPr>
        <w:pStyle w:val="PlainText"/>
        <w:rPr>
          <w:rFonts w:ascii="Arial" w:hAnsi="Arial" w:cs="Arial"/>
        </w:rPr>
      </w:pPr>
      <w:r w:rsidRPr="00B535CF">
        <w:rPr>
          <w:rFonts w:ascii="Arial" w:hAnsi="Arial" w:cs="Arial"/>
        </w:rPr>
        <w:t xml:space="preserve"> </w:t>
      </w:r>
    </w:p>
    <w:p w14:paraId="1A16AEDF" w14:textId="3B2249E8" w:rsidR="0092476B" w:rsidRPr="00B535CF" w:rsidRDefault="0092476B" w:rsidP="00C07F3D">
      <w:pPr>
        <w:pStyle w:val="PlainText"/>
        <w:rPr>
          <w:rFonts w:ascii="Arial" w:hAnsi="Arial" w:cs="Arial"/>
        </w:rPr>
      </w:pPr>
      <w:r w:rsidRPr="00B535CF">
        <w:rPr>
          <w:rFonts w:ascii="Arial" w:hAnsi="Arial" w:cs="Arial"/>
        </w:rPr>
        <w:t xml:space="preserve">There is less clarity regarding which individuals may have a claim arising out of the patient’s death. Whilst this is accepted to encompass those with a financial claim, determining who these individuals are and whether there are any other types of </w:t>
      </w:r>
      <w:proofErr w:type="gramStart"/>
      <w:r w:rsidRPr="00B535CF">
        <w:rPr>
          <w:rFonts w:ascii="Arial" w:hAnsi="Arial" w:cs="Arial"/>
        </w:rPr>
        <w:t>claim</w:t>
      </w:r>
      <w:proofErr w:type="gramEnd"/>
      <w:r w:rsidRPr="00B535CF">
        <w:rPr>
          <w:rFonts w:ascii="Arial" w:hAnsi="Arial" w:cs="Arial"/>
        </w:rPr>
        <w:t xml:space="preserve"> is not straightforward. The decision as to whether a claim </w:t>
      </w:r>
      <w:proofErr w:type="gramStart"/>
      <w:r w:rsidRPr="00B535CF">
        <w:rPr>
          <w:rFonts w:ascii="Arial" w:hAnsi="Arial" w:cs="Arial"/>
        </w:rPr>
        <w:t>actually exists</w:t>
      </w:r>
      <w:proofErr w:type="gramEnd"/>
      <w:r w:rsidRPr="00B535CF">
        <w:rPr>
          <w:rFonts w:ascii="Arial" w:hAnsi="Arial" w:cs="Arial"/>
        </w:rPr>
        <w:t xml:space="preserve"> lies with the record holder. In cases where it is not clear whether a claim arises</w:t>
      </w:r>
      <w:r w:rsidR="001146DF">
        <w:rPr>
          <w:rFonts w:ascii="Arial" w:hAnsi="Arial" w:cs="Arial"/>
        </w:rPr>
        <w:t>,</w:t>
      </w:r>
      <w:r w:rsidRPr="00B535CF">
        <w:rPr>
          <w:rFonts w:ascii="Arial" w:hAnsi="Arial" w:cs="Arial"/>
        </w:rPr>
        <w:t xml:space="preserve"> the record holder should seek legal advice.  </w:t>
      </w:r>
    </w:p>
    <w:p w14:paraId="733F5862" w14:textId="77777777" w:rsidR="0092476B" w:rsidRPr="00B535CF" w:rsidRDefault="0092476B" w:rsidP="00C07F3D">
      <w:pPr>
        <w:pStyle w:val="PlainText"/>
        <w:rPr>
          <w:i/>
          <w:iCs/>
        </w:rPr>
      </w:pPr>
      <w:r w:rsidRPr="00B535CF">
        <w:rPr>
          <w:i/>
          <w:iCs/>
        </w:rPr>
        <w:t xml:space="preserve"> </w:t>
      </w:r>
    </w:p>
    <w:p w14:paraId="602E8A5B" w14:textId="77777777" w:rsidR="0092476B" w:rsidRPr="00B535CF" w:rsidRDefault="0092476B" w:rsidP="00C07F3D">
      <w:pPr>
        <w:pStyle w:val="PlainText"/>
        <w:rPr>
          <w:rFonts w:ascii="Arial" w:hAnsi="Arial" w:cs="Arial"/>
        </w:rPr>
      </w:pPr>
      <w:r w:rsidRPr="00B535CF">
        <w:rPr>
          <w:rFonts w:ascii="Arial" w:hAnsi="Arial" w:cs="Arial"/>
        </w:rPr>
        <w:t xml:space="preserve">Record holders must satisfy themselves as to the identity of applicants who should provide as much information to identify themselves as possible.  Where an application is being made </w:t>
      </w:r>
      <w:proofErr w:type="gramStart"/>
      <w:r w:rsidRPr="00B535CF">
        <w:rPr>
          <w:rFonts w:ascii="Arial" w:hAnsi="Arial" w:cs="Arial"/>
        </w:rPr>
        <w:t>on the basis of</w:t>
      </w:r>
      <w:proofErr w:type="gramEnd"/>
      <w:r w:rsidRPr="00B535CF">
        <w:rPr>
          <w:rFonts w:ascii="Arial" w:hAnsi="Arial" w:cs="Arial"/>
        </w:rPr>
        <w:t xml:space="preserve"> a claim arising from the deceased’s death, applicants must provide evidence to support their claim.  Personal representatives will also need to provide evidence of identity. </w:t>
      </w:r>
    </w:p>
    <w:p w14:paraId="747EAE7B" w14:textId="3547D74A" w:rsidR="0092476B" w:rsidRPr="00B535CF" w:rsidRDefault="0092476B" w:rsidP="0092476B">
      <w:pPr>
        <w:pStyle w:val="Heading2"/>
        <w:ind w:left="567"/>
        <w:rPr>
          <w:rFonts w:ascii="Arial" w:hAnsi="Arial" w:cs="Arial"/>
          <w:smallCaps w:val="0"/>
          <w:sz w:val="24"/>
          <w:szCs w:val="24"/>
          <w:lang w:val="en-GB"/>
        </w:rPr>
      </w:pPr>
      <w:bookmarkStart w:id="34" w:name="_Toc101348263"/>
      <w:r w:rsidRPr="00B535CF">
        <w:rPr>
          <w:rFonts w:ascii="Arial" w:hAnsi="Arial" w:cs="Arial"/>
          <w:smallCaps w:val="0"/>
          <w:sz w:val="24"/>
          <w:szCs w:val="24"/>
          <w:lang w:val="en-GB"/>
        </w:rPr>
        <w:t xml:space="preserve">Applying for </w:t>
      </w:r>
      <w:r w:rsidR="007C72E4" w:rsidRPr="00B535CF">
        <w:rPr>
          <w:rFonts w:ascii="Arial" w:hAnsi="Arial" w:cs="Arial"/>
          <w:smallCaps w:val="0"/>
          <w:sz w:val="24"/>
          <w:szCs w:val="24"/>
          <w:lang w:val="en-GB"/>
        </w:rPr>
        <w:t>a</w:t>
      </w:r>
      <w:r w:rsidRPr="00B535CF">
        <w:rPr>
          <w:rFonts w:ascii="Arial" w:hAnsi="Arial" w:cs="Arial"/>
          <w:smallCaps w:val="0"/>
          <w:sz w:val="24"/>
          <w:szCs w:val="24"/>
          <w:lang w:val="en-GB"/>
        </w:rPr>
        <w:t xml:space="preserve">ccess </w:t>
      </w:r>
      <w:r w:rsidR="007C72E4" w:rsidRPr="00B535CF">
        <w:rPr>
          <w:rFonts w:ascii="Arial" w:hAnsi="Arial" w:cs="Arial"/>
          <w:smallCaps w:val="0"/>
          <w:sz w:val="24"/>
          <w:szCs w:val="24"/>
          <w:lang w:val="en-GB"/>
        </w:rPr>
        <w:t>u</w:t>
      </w:r>
      <w:r w:rsidRPr="00B535CF">
        <w:rPr>
          <w:rFonts w:ascii="Arial" w:hAnsi="Arial" w:cs="Arial"/>
          <w:smallCaps w:val="0"/>
          <w:sz w:val="24"/>
          <w:szCs w:val="24"/>
          <w:lang w:val="en-GB"/>
        </w:rPr>
        <w:t>nder AHRA</w:t>
      </w:r>
      <w:bookmarkEnd w:id="34"/>
      <w:r w:rsidRPr="00B535CF">
        <w:rPr>
          <w:rFonts w:ascii="Arial" w:hAnsi="Arial" w:cs="Arial"/>
          <w:smallCaps w:val="0"/>
          <w:sz w:val="24"/>
          <w:szCs w:val="24"/>
          <w:lang w:val="en-GB"/>
        </w:rPr>
        <w:t xml:space="preserve"> </w:t>
      </w:r>
    </w:p>
    <w:p w14:paraId="3AF89454" w14:textId="77777777" w:rsidR="0092476B" w:rsidRPr="00B535CF" w:rsidRDefault="0092476B" w:rsidP="00C07F3D">
      <w:pPr>
        <w:pStyle w:val="PlainText"/>
        <w:rPr>
          <w:i/>
          <w:iCs/>
        </w:rPr>
      </w:pPr>
      <w:r w:rsidRPr="00B535CF">
        <w:rPr>
          <w:i/>
          <w:iCs/>
        </w:rPr>
        <w:t xml:space="preserve"> </w:t>
      </w:r>
    </w:p>
    <w:p w14:paraId="6D5F26DD" w14:textId="1F8F3313" w:rsidR="0092476B" w:rsidRPr="00B535CF" w:rsidRDefault="0092476B" w:rsidP="00C07F3D">
      <w:pPr>
        <w:pStyle w:val="PlainText"/>
        <w:rPr>
          <w:rFonts w:ascii="Arial" w:hAnsi="Arial" w:cs="Arial"/>
        </w:rPr>
      </w:pPr>
      <w:r w:rsidRPr="00B535CF">
        <w:rPr>
          <w:rFonts w:ascii="Arial" w:hAnsi="Arial" w:cs="Arial"/>
        </w:rPr>
        <w:t xml:space="preserve">A request for access should be made in writing to the data controller ensuring that it contains sufficient information to enable the correct records to be identified. Requestors may wish to specify </w:t>
      </w:r>
      <w:proofErr w:type="gramStart"/>
      <w:r w:rsidRPr="00B535CF">
        <w:rPr>
          <w:rFonts w:ascii="Arial" w:hAnsi="Arial" w:cs="Arial"/>
        </w:rPr>
        <w:t>particular dates</w:t>
      </w:r>
      <w:proofErr w:type="gramEnd"/>
      <w:r w:rsidRPr="00B535CF">
        <w:rPr>
          <w:rFonts w:ascii="Arial" w:hAnsi="Arial" w:cs="Arial"/>
        </w:rPr>
        <w:t xml:space="preserve"> or parts of records </w:t>
      </w:r>
      <w:r w:rsidR="001146DF">
        <w:rPr>
          <w:rFonts w:ascii="Arial" w:hAnsi="Arial" w:cs="Arial"/>
        </w:rPr>
        <w:t>that</w:t>
      </w:r>
      <w:r w:rsidRPr="00B535CF">
        <w:rPr>
          <w:rFonts w:ascii="Arial" w:hAnsi="Arial" w:cs="Arial"/>
        </w:rPr>
        <w:t xml:space="preserve"> they wish to access.  This may help </w:t>
      </w:r>
      <w:r w:rsidR="001146DF">
        <w:rPr>
          <w:rFonts w:ascii="Arial" w:hAnsi="Arial" w:cs="Arial"/>
        </w:rPr>
        <w:t xml:space="preserve">to </w:t>
      </w:r>
      <w:r w:rsidRPr="00B535CF">
        <w:rPr>
          <w:rFonts w:ascii="Arial" w:hAnsi="Arial" w:cs="Arial"/>
        </w:rPr>
        <w:t>reduce the fee that is payable</w:t>
      </w:r>
      <w:r w:rsidR="00194DC0">
        <w:rPr>
          <w:rFonts w:ascii="Arial" w:hAnsi="Arial" w:cs="Arial"/>
        </w:rPr>
        <w:t xml:space="preserve"> in certain circumstances as given in </w:t>
      </w:r>
      <w:hyperlink w:anchor="_Fees_for_access" w:history="1">
        <w:r w:rsidR="00FC01DD" w:rsidRPr="00FC01DD">
          <w:rPr>
            <w:rStyle w:val="Hyperlink"/>
            <w:rFonts w:ascii="Arial" w:hAnsi="Arial" w:cs="Arial"/>
          </w:rPr>
          <w:t>S</w:t>
        </w:r>
        <w:r w:rsidR="00194DC0" w:rsidRPr="00FC01DD">
          <w:rPr>
            <w:rStyle w:val="Hyperlink"/>
            <w:rFonts w:ascii="Arial" w:hAnsi="Arial" w:cs="Arial"/>
          </w:rPr>
          <w:t>ection 4.5</w:t>
        </w:r>
      </w:hyperlink>
      <w:r w:rsidRPr="00B535CF">
        <w:rPr>
          <w:rFonts w:ascii="Arial" w:hAnsi="Arial" w:cs="Arial"/>
        </w:rPr>
        <w:t xml:space="preserve">. The request should also give details of the requestor’s right to access the records.  </w:t>
      </w:r>
    </w:p>
    <w:p w14:paraId="7662F002" w14:textId="77777777" w:rsidR="0092476B" w:rsidRPr="00B535CF" w:rsidRDefault="0092476B" w:rsidP="00C07F3D">
      <w:pPr>
        <w:pStyle w:val="PlainText"/>
        <w:rPr>
          <w:rFonts w:ascii="Arial" w:hAnsi="Arial" w:cs="Arial"/>
        </w:rPr>
      </w:pPr>
      <w:r w:rsidRPr="00B535CF">
        <w:rPr>
          <w:rFonts w:ascii="Arial" w:hAnsi="Arial" w:cs="Arial"/>
        </w:rPr>
        <w:t xml:space="preserve"> </w:t>
      </w:r>
    </w:p>
    <w:p w14:paraId="4C9E6327" w14:textId="0DE316B9" w:rsidR="0092476B" w:rsidRPr="00B535CF" w:rsidRDefault="0092476B" w:rsidP="00C07F3D">
      <w:pPr>
        <w:pStyle w:val="PlainText"/>
        <w:rPr>
          <w:rFonts w:ascii="Arial" w:hAnsi="Arial" w:cs="Arial"/>
        </w:rPr>
      </w:pPr>
      <w:r w:rsidRPr="00B535CF">
        <w:rPr>
          <w:rFonts w:ascii="Arial" w:hAnsi="Arial" w:cs="Arial"/>
        </w:rPr>
        <w:t xml:space="preserve">Once the data controller has the relevant information and fee, they should comply with the request promptly and within 21 days where the record has been added to in the last 40 days and within 40 days otherwise.  </w:t>
      </w:r>
    </w:p>
    <w:p w14:paraId="734EB4B1" w14:textId="76EC36C8" w:rsidR="0092476B" w:rsidRPr="00B535CF" w:rsidRDefault="0092476B" w:rsidP="0092476B">
      <w:pPr>
        <w:pStyle w:val="Heading2"/>
        <w:ind w:left="567"/>
        <w:rPr>
          <w:rFonts w:ascii="Arial" w:hAnsi="Arial" w:cs="Arial"/>
          <w:smallCaps w:val="0"/>
          <w:sz w:val="24"/>
          <w:szCs w:val="24"/>
          <w:lang w:val="en-GB"/>
        </w:rPr>
      </w:pPr>
      <w:bookmarkStart w:id="35" w:name="_Toc101348264"/>
      <w:r w:rsidRPr="00B535CF">
        <w:rPr>
          <w:rFonts w:ascii="Arial" w:hAnsi="Arial" w:cs="Arial"/>
          <w:smallCaps w:val="0"/>
          <w:sz w:val="24"/>
          <w:szCs w:val="24"/>
          <w:lang w:val="en-GB"/>
        </w:rPr>
        <w:t xml:space="preserve">Disclosure in the </w:t>
      </w:r>
      <w:r w:rsidR="007C72E4" w:rsidRPr="00B535CF">
        <w:rPr>
          <w:rFonts w:ascii="Arial" w:hAnsi="Arial" w:cs="Arial"/>
          <w:smallCaps w:val="0"/>
          <w:sz w:val="24"/>
          <w:szCs w:val="24"/>
          <w:lang w:val="en-GB"/>
        </w:rPr>
        <w:t>a</w:t>
      </w:r>
      <w:r w:rsidRPr="00B535CF">
        <w:rPr>
          <w:rFonts w:ascii="Arial" w:hAnsi="Arial" w:cs="Arial"/>
          <w:smallCaps w:val="0"/>
          <w:sz w:val="24"/>
          <w:szCs w:val="24"/>
          <w:lang w:val="en-GB"/>
        </w:rPr>
        <w:t xml:space="preserve">bsence of a </w:t>
      </w:r>
      <w:r w:rsidR="007C72E4" w:rsidRPr="00B535CF">
        <w:rPr>
          <w:rFonts w:ascii="Arial" w:hAnsi="Arial" w:cs="Arial"/>
          <w:smallCaps w:val="0"/>
          <w:sz w:val="24"/>
          <w:szCs w:val="24"/>
          <w:lang w:val="en-GB"/>
        </w:rPr>
        <w:t>s</w:t>
      </w:r>
      <w:r w:rsidRPr="00B535CF">
        <w:rPr>
          <w:rFonts w:ascii="Arial" w:hAnsi="Arial" w:cs="Arial"/>
          <w:smallCaps w:val="0"/>
          <w:sz w:val="24"/>
          <w:szCs w:val="24"/>
          <w:lang w:val="en-GB"/>
        </w:rPr>
        <w:t xml:space="preserve">tatutory </w:t>
      </w:r>
      <w:r w:rsidR="007C72E4" w:rsidRPr="00B535CF">
        <w:rPr>
          <w:rFonts w:ascii="Arial" w:hAnsi="Arial" w:cs="Arial"/>
          <w:smallCaps w:val="0"/>
          <w:sz w:val="24"/>
          <w:szCs w:val="24"/>
          <w:lang w:val="en-GB"/>
        </w:rPr>
        <w:t>b</w:t>
      </w:r>
      <w:r w:rsidRPr="00B535CF">
        <w:rPr>
          <w:rFonts w:ascii="Arial" w:hAnsi="Arial" w:cs="Arial"/>
          <w:smallCaps w:val="0"/>
          <w:sz w:val="24"/>
          <w:szCs w:val="24"/>
          <w:lang w:val="en-GB"/>
        </w:rPr>
        <w:t>asis</w:t>
      </w:r>
      <w:bookmarkEnd w:id="35"/>
      <w:r w:rsidRPr="00B535CF">
        <w:rPr>
          <w:rFonts w:ascii="Arial" w:hAnsi="Arial" w:cs="Arial"/>
          <w:smallCaps w:val="0"/>
          <w:sz w:val="24"/>
          <w:szCs w:val="24"/>
          <w:lang w:val="en-GB"/>
        </w:rPr>
        <w:t xml:space="preserve"> </w:t>
      </w:r>
    </w:p>
    <w:p w14:paraId="2D76EF3A" w14:textId="77777777" w:rsidR="0092476B" w:rsidRPr="00B535CF" w:rsidRDefault="0092476B" w:rsidP="00C07F3D">
      <w:pPr>
        <w:pStyle w:val="PlainText"/>
        <w:rPr>
          <w:i/>
          <w:iCs/>
        </w:rPr>
      </w:pPr>
      <w:r w:rsidRPr="00B535CF">
        <w:rPr>
          <w:i/>
          <w:iCs/>
        </w:rPr>
        <w:t xml:space="preserve"> </w:t>
      </w:r>
    </w:p>
    <w:p w14:paraId="46C4408A" w14:textId="74B564F3" w:rsidR="0092476B" w:rsidRPr="00B535CF" w:rsidRDefault="0092476B" w:rsidP="00C07F3D">
      <w:pPr>
        <w:pStyle w:val="PlainText"/>
        <w:rPr>
          <w:rFonts w:ascii="Arial" w:hAnsi="Arial" w:cs="Arial"/>
        </w:rPr>
      </w:pPr>
      <w:r w:rsidRPr="00B535CF">
        <w:rPr>
          <w:rFonts w:ascii="Arial" w:hAnsi="Arial" w:cs="Arial"/>
        </w:rPr>
        <w:t xml:space="preserve">Disclosures in the absence of a statutory basis should be in the public interest, be proportionate and judged on a case-by-case basis. The public good that would be served by disclosure must outweigh both the obligation of confidentiality owed to the deceased individual, any other individuals referenced in a record and the overall importance placed in the health service providing a confidential service. Key issues for consideration include any preference expressed by the deceased prior to death, the distress or detriment that any living individual might suffer following the disclosure and any loss of privacy that might result and the impact upon the reputation of the deceased. The views of surviving family and the length of time after death are also </w:t>
      </w:r>
      <w:r w:rsidRPr="00B535CF">
        <w:rPr>
          <w:rFonts w:ascii="Arial" w:hAnsi="Arial" w:cs="Arial"/>
        </w:rPr>
        <w:lastRenderedPageBreak/>
        <w:t xml:space="preserve">important considerations. The obligation of confidentiality to the deceased is likely to be less than that owed to living patients and will diminish over time. </w:t>
      </w:r>
    </w:p>
    <w:p w14:paraId="71ECB802" w14:textId="77777777" w:rsidR="0092476B" w:rsidRPr="00B535CF" w:rsidRDefault="0092476B" w:rsidP="00C07F3D">
      <w:pPr>
        <w:pStyle w:val="PlainText"/>
        <w:rPr>
          <w:rFonts w:ascii="Arial" w:hAnsi="Arial" w:cs="Arial"/>
        </w:rPr>
      </w:pPr>
      <w:r w:rsidRPr="00B535CF">
        <w:rPr>
          <w:rFonts w:ascii="Arial" w:hAnsi="Arial" w:cs="Arial"/>
        </w:rPr>
        <w:t xml:space="preserve"> </w:t>
      </w:r>
    </w:p>
    <w:p w14:paraId="215C28AD" w14:textId="6E3135AE" w:rsidR="0092476B" w:rsidRPr="00B535CF" w:rsidRDefault="0092476B" w:rsidP="00C07F3D">
      <w:pPr>
        <w:pStyle w:val="PlainText"/>
        <w:rPr>
          <w:rFonts w:ascii="Arial" w:hAnsi="Arial" w:cs="Arial"/>
        </w:rPr>
      </w:pPr>
      <w:r w:rsidRPr="00B535CF">
        <w:rPr>
          <w:rFonts w:ascii="Arial" w:hAnsi="Arial" w:cs="Arial"/>
        </w:rPr>
        <w:t xml:space="preserve">Another important consideration is the extent of the disclosure. Disclosing a complete health record is likely to require a stronger justification than a partial disclosure of information abstracted from the record. If the point of interest is the latest clinical episode or cause of death then disclosure, where this is judged appropriate, should be limited to the pertinent details. </w:t>
      </w:r>
    </w:p>
    <w:p w14:paraId="679149BD" w14:textId="77777777" w:rsidR="0092476B" w:rsidRPr="00B535CF" w:rsidRDefault="0092476B" w:rsidP="00C07F3D">
      <w:pPr>
        <w:pStyle w:val="PlainText"/>
        <w:rPr>
          <w:rFonts w:ascii="Arial" w:hAnsi="Arial" w:cs="Arial"/>
        </w:rPr>
      </w:pPr>
      <w:r w:rsidRPr="00B535CF">
        <w:rPr>
          <w:rFonts w:ascii="Arial" w:hAnsi="Arial" w:cs="Arial"/>
        </w:rPr>
        <w:t xml:space="preserve"> </w:t>
      </w:r>
    </w:p>
    <w:p w14:paraId="4BC6D025" w14:textId="70E556CF" w:rsidR="0092476B" w:rsidRPr="00B535CF" w:rsidRDefault="0092476B" w:rsidP="00C07F3D">
      <w:pPr>
        <w:pStyle w:val="PlainText"/>
        <w:rPr>
          <w:rFonts w:ascii="Arial" w:hAnsi="Arial" w:cs="Arial"/>
        </w:rPr>
      </w:pPr>
      <w:r w:rsidRPr="00B535CF">
        <w:rPr>
          <w:rFonts w:ascii="Arial" w:hAnsi="Arial" w:cs="Arial"/>
        </w:rPr>
        <w:t>This document is not intended to support or facilitate open access to the health records of the deceased. Individual(s) requesting access to deceased patient health information should be able to demonstrate a legitimate purpose, generally a strong public interest justification and in many cases a legitimate relationship with the deceased patient. On making a request for information, the requestor should be asked to provide authenticating details to prove their identity and their relationship with the deceased individual. They should also provide a reason for the request and</w:t>
      </w:r>
      <w:r w:rsidR="001146DF">
        <w:rPr>
          <w:rFonts w:ascii="Arial" w:hAnsi="Arial" w:cs="Arial"/>
        </w:rPr>
        <w:t>,</w:t>
      </w:r>
      <w:r w:rsidRPr="00B535CF">
        <w:rPr>
          <w:rFonts w:ascii="Arial" w:hAnsi="Arial" w:cs="Arial"/>
        </w:rPr>
        <w:t xml:space="preserve"> where possible, specify the parts of the deceased health record they require.  </w:t>
      </w:r>
    </w:p>
    <w:p w14:paraId="252BF848" w14:textId="77777777" w:rsidR="0092476B" w:rsidRPr="00B535CF" w:rsidRDefault="0092476B" w:rsidP="00C07F3D">
      <w:pPr>
        <w:pStyle w:val="PlainText"/>
        <w:rPr>
          <w:rFonts w:ascii="Arial" w:hAnsi="Arial" w:cs="Arial"/>
        </w:rPr>
      </w:pPr>
      <w:r w:rsidRPr="00B535CF">
        <w:rPr>
          <w:rFonts w:ascii="Arial" w:hAnsi="Arial" w:cs="Arial"/>
        </w:rPr>
        <w:t xml:space="preserve"> </w:t>
      </w:r>
    </w:p>
    <w:p w14:paraId="22E097A8" w14:textId="17CC01EC" w:rsidR="0092476B" w:rsidRPr="00B535CF" w:rsidRDefault="0092476B" w:rsidP="00C07F3D">
      <w:pPr>
        <w:pStyle w:val="PlainText"/>
        <w:rPr>
          <w:rFonts w:ascii="Arial" w:hAnsi="Arial" w:cs="Arial"/>
        </w:rPr>
      </w:pPr>
      <w:r w:rsidRPr="00B535CF">
        <w:rPr>
          <w:rFonts w:ascii="Arial" w:hAnsi="Arial" w:cs="Arial"/>
        </w:rPr>
        <w:t xml:space="preserve">Relatives, </w:t>
      </w:r>
      <w:r w:rsidR="0085315B" w:rsidRPr="00B535CF">
        <w:rPr>
          <w:rFonts w:ascii="Arial" w:hAnsi="Arial" w:cs="Arial"/>
        </w:rPr>
        <w:t>friends</w:t>
      </w:r>
      <w:r w:rsidRPr="00B535CF">
        <w:rPr>
          <w:rFonts w:ascii="Arial" w:hAnsi="Arial" w:cs="Arial"/>
        </w:rPr>
        <w:t xml:space="preserve"> and carers may have a range of important reasons for requesting information about deceased patients.  For example, helping a relative understand the cause of death and actions taken to ease </w:t>
      </w:r>
      <w:r w:rsidR="001146DF">
        <w:rPr>
          <w:rFonts w:ascii="Arial" w:hAnsi="Arial" w:cs="Arial"/>
        </w:rPr>
        <w:t xml:space="preserve">the </w:t>
      </w:r>
      <w:r w:rsidRPr="00B535CF">
        <w:rPr>
          <w:rFonts w:ascii="Arial" w:hAnsi="Arial" w:cs="Arial"/>
        </w:rPr>
        <w:t>suffering of the patient at the time may help</w:t>
      </w:r>
      <w:r w:rsidR="001146DF">
        <w:rPr>
          <w:rFonts w:ascii="Arial" w:hAnsi="Arial" w:cs="Arial"/>
        </w:rPr>
        <w:t xml:space="preserve"> to</w:t>
      </w:r>
      <w:r w:rsidRPr="00B535CF">
        <w:rPr>
          <w:rFonts w:ascii="Arial" w:hAnsi="Arial" w:cs="Arial"/>
        </w:rPr>
        <w:t xml:space="preserve"> aid the bereavement process, or providing living relatives with genetic information about a hereditary condition may improve health outcomes for the surviving relatives of the deceased. </w:t>
      </w:r>
    </w:p>
    <w:p w14:paraId="1D26D609" w14:textId="77777777" w:rsidR="0092476B" w:rsidRPr="00B535CF" w:rsidRDefault="0092476B" w:rsidP="00C07F3D">
      <w:pPr>
        <w:pStyle w:val="PlainText"/>
        <w:rPr>
          <w:rFonts w:ascii="Arial" w:hAnsi="Arial" w:cs="Arial"/>
        </w:rPr>
      </w:pPr>
      <w:r w:rsidRPr="00B535CF">
        <w:rPr>
          <w:rFonts w:ascii="Arial" w:hAnsi="Arial" w:cs="Arial"/>
        </w:rPr>
        <w:t xml:space="preserve"> </w:t>
      </w:r>
    </w:p>
    <w:p w14:paraId="75EDCE1D" w14:textId="2C6A77B8" w:rsidR="0092476B" w:rsidRPr="00B535CF" w:rsidRDefault="0092476B" w:rsidP="00C07F3D">
      <w:pPr>
        <w:pStyle w:val="PlainText"/>
        <w:rPr>
          <w:rFonts w:ascii="Arial" w:hAnsi="Arial" w:cs="Arial"/>
        </w:rPr>
      </w:pPr>
      <w:r w:rsidRPr="00B535CF">
        <w:rPr>
          <w:rFonts w:ascii="Arial" w:hAnsi="Arial" w:cs="Arial"/>
        </w:rPr>
        <w:t xml:space="preserve">In some </w:t>
      </w:r>
      <w:r w:rsidR="00392FE6" w:rsidRPr="00B535CF">
        <w:rPr>
          <w:rFonts w:ascii="Arial" w:hAnsi="Arial" w:cs="Arial"/>
        </w:rPr>
        <w:t>cases,</w:t>
      </w:r>
      <w:r w:rsidRPr="00B535CF">
        <w:rPr>
          <w:rFonts w:ascii="Arial" w:hAnsi="Arial" w:cs="Arial"/>
        </w:rPr>
        <w:t xml:space="preserve"> the decision about disclosure may not be simple or straightforward and the organisation’s Caldicott Guardian or the SIRO should be consulted in the first instance. In complex cases</w:t>
      </w:r>
      <w:r w:rsidR="001146DF">
        <w:rPr>
          <w:rFonts w:ascii="Arial" w:hAnsi="Arial" w:cs="Arial"/>
        </w:rPr>
        <w:t>,</w:t>
      </w:r>
      <w:r w:rsidRPr="00B535CF">
        <w:rPr>
          <w:rFonts w:ascii="Arial" w:hAnsi="Arial" w:cs="Arial"/>
        </w:rPr>
        <w:t xml:space="preserve"> the D</w:t>
      </w:r>
      <w:r w:rsidR="003D4988" w:rsidRPr="00B535CF">
        <w:rPr>
          <w:rFonts w:ascii="Arial" w:hAnsi="Arial" w:cs="Arial"/>
        </w:rPr>
        <w:t>ata Protection Officer</w:t>
      </w:r>
      <w:r w:rsidRPr="00B535CF">
        <w:rPr>
          <w:rFonts w:ascii="Arial" w:hAnsi="Arial" w:cs="Arial"/>
        </w:rPr>
        <w:t xml:space="preserve"> should be contacted for appropriate legal advice and guidance. </w:t>
      </w:r>
    </w:p>
    <w:p w14:paraId="3F092D3D" w14:textId="6E1971B2" w:rsidR="0092476B" w:rsidRPr="00B535CF" w:rsidRDefault="001146DF" w:rsidP="0092476B">
      <w:pPr>
        <w:pStyle w:val="Heading2"/>
        <w:ind w:left="567"/>
        <w:rPr>
          <w:rFonts w:ascii="Arial" w:hAnsi="Arial" w:cs="Arial"/>
          <w:smallCaps w:val="0"/>
          <w:sz w:val="24"/>
          <w:szCs w:val="24"/>
          <w:lang w:val="en-GB"/>
        </w:rPr>
      </w:pPr>
      <w:bookmarkStart w:id="36" w:name="_Toc101348265"/>
      <w:r>
        <w:rPr>
          <w:rFonts w:ascii="Arial" w:hAnsi="Arial" w:cs="Arial"/>
          <w:smallCaps w:val="0"/>
          <w:sz w:val="24"/>
          <w:szCs w:val="24"/>
          <w:lang w:val="en-GB"/>
        </w:rPr>
        <w:t>Refusal of a r</w:t>
      </w:r>
      <w:r w:rsidR="0092476B" w:rsidRPr="00B535CF">
        <w:rPr>
          <w:rFonts w:ascii="Arial" w:hAnsi="Arial" w:cs="Arial"/>
          <w:smallCaps w:val="0"/>
          <w:sz w:val="24"/>
          <w:szCs w:val="24"/>
          <w:lang w:val="en-GB"/>
        </w:rPr>
        <w:t>equest</w:t>
      </w:r>
      <w:bookmarkEnd w:id="36"/>
    </w:p>
    <w:p w14:paraId="5E195CFE" w14:textId="77777777" w:rsidR="0092476B" w:rsidRPr="00B535CF" w:rsidRDefault="0092476B" w:rsidP="0092476B">
      <w:pPr>
        <w:rPr>
          <w:rFonts w:ascii="Arial" w:hAnsi="Arial" w:cs="Arial"/>
          <w:sz w:val="22"/>
          <w:szCs w:val="22"/>
        </w:rPr>
      </w:pPr>
    </w:p>
    <w:p w14:paraId="0E116254" w14:textId="61675AC8" w:rsidR="0092476B" w:rsidRPr="00B535CF" w:rsidRDefault="0092476B" w:rsidP="0092476B">
      <w:pPr>
        <w:pStyle w:val="NormalWeb"/>
        <w:spacing w:before="0" w:beforeAutospacing="0" w:after="0" w:afterAutospacing="0"/>
        <w:jc w:val="both"/>
        <w:rPr>
          <w:rFonts w:ascii="Arial" w:hAnsi="Arial" w:cs="Arial"/>
          <w:sz w:val="22"/>
          <w:szCs w:val="22"/>
        </w:rPr>
      </w:pPr>
      <w:r w:rsidRPr="00B535CF">
        <w:rPr>
          <w:rFonts w:ascii="Arial" w:hAnsi="Arial" w:cs="Arial"/>
          <w:sz w:val="22"/>
          <w:szCs w:val="22"/>
        </w:rPr>
        <w:t>You can refuse the request if</w:t>
      </w:r>
      <w:r w:rsidR="001146DF">
        <w:rPr>
          <w:rFonts w:ascii="Arial" w:hAnsi="Arial" w:cs="Arial"/>
          <w:sz w:val="22"/>
          <w:szCs w:val="22"/>
        </w:rPr>
        <w:t>,</w:t>
      </w:r>
      <w:r w:rsidRPr="00B535CF">
        <w:rPr>
          <w:rFonts w:ascii="Arial" w:hAnsi="Arial" w:cs="Arial"/>
          <w:sz w:val="22"/>
          <w:szCs w:val="22"/>
        </w:rPr>
        <w:t xml:space="preserve"> in the view of your clinician</w:t>
      </w:r>
      <w:r w:rsidR="001146DF">
        <w:rPr>
          <w:rFonts w:ascii="Arial" w:hAnsi="Arial" w:cs="Arial"/>
          <w:sz w:val="22"/>
          <w:szCs w:val="22"/>
        </w:rPr>
        <w:t>,</w:t>
      </w:r>
      <w:r w:rsidRPr="00B535CF">
        <w:rPr>
          <w:rFonts w:ascii="Arial" w:hAnsi="Arial" w:cs="Arial"/>
          <w:sz w:val="22"/>
          <w:szCs w:val="22"/>
        </w:rPr>
        <w:t xml:space="preserve"> exemptions apply. Cases where right of access may be partially excluded:</w:t>
      </w:r>
    </w:p>
    <w:p w14:paraId="4BF5F320" w14:textId="77777777" w:rsidR="0092476B" w:rsidRPr="00B535CF" w:rsidRDefault="0092476B" w:rsidP="0092476B">
      <w:pPr>
        <w:pStyle w:val="NormalWeb"/>
        <w:spacing w:before="0" w:beforeAutospacing="0" w:after="0" w:afterAutospacing="0"/>
        <w:jc w:val="both"/>
        <w:rPr>
          <w:rFonts w:ascii="Arial" w:hAnsi="Arial" w:cs="Arial"/>
          <w:sz w:val="22"/>
          <w:szCs w:val="22"/>
        </w:rPr>
      </w:pPr>
    </w:p>
    <w:p w14:paraId="1C78939B" w14:textId="119D149B" w:rsidR="0092476B" w:rsidRPr="00B535CF" w:rsidRDefault="0092476B" w:rsidP="00FC01DD">
      <w:pPr>
        <w:pStyle w:val="NormalWeb"/>
        <w:spacing w:before="0" w:beforeAutospacing="0" w:after="0" w:afterAutospacing="0"/>
        <w:jc w:val="both"/>
        <w:rPr>
          <w:rFonts w:ascii="Arial" w:hAnsi="Arial" w:cs="Arial"/>
          <w:sz w:val="22"/>
          <w:szCs w:val="22"/>
        </w:rPr>
      </w:pPr>
      <w:r w:rsidRPr="00B535CF">
        <w:rPr>
          <w:rFonts w:ascii="Arial" w:hAnsi="Arial" w:cs="Arial"/>
          <w:sz w:val="22"/>
          <w:szCs w:val="22"/>
        </w:rPr>
        <w:t xml:space="preserve">Access shall not be given under </w:t>
      </w:r>
      <w:r w:rsidR="00FC01DD">
        <w:rPr>
          <w:rFonts w:ascii="Arial" w:hAnsi="Arial" w:cs="Arial"/>
          <w:sz w:val="22"/>
          <w:szCs w:val="22"/>
        </w:rPr>
        <w:t>S</w:t>
      </w:r>
      <w:r w:rsidR="00FC01DD" w:rsidRPr="00B535CF">
        <w:rPr>
          <w:rFonts w:ascii="Arial" w:hAnsi="Arial" w:cs="Arial"/>
          <w:sz w:val="22"/>
          <w:szCs w:val="22"/>
        </w:rPr>
        <w:t xml:space="preserve">ection </w:t>
      </w:r>
      <w:r w:rsidRPr="00B535CF">
        <w:rPr>
          <w:rFonts w:ascii="Arial" w:hAnsi="Arial" w:cs="Arial"/>
          <w:sz w:val="22"/>
          <w:szCs w:val="22"/>
        </w:rPr>
        <w:t>3</w:t>
      </w:r>
      <w:r w:rsidR="00A72725">
        <w:rPr>
          <w:rFonts w:ascii="Arial" w:hAnsi="Arial" w:cs="Arial"/>
          <w:sz w:val="22"/>
          <w:szCs w:val="22"/>
        </w:rPr>
        <w:t xml:space="preserve"> </w:t>
      </w:r>
      <w:r w:rsidRPr="00B535CF">
        <w:rPr>
          <w:rFonts w:ascii="Arial" w:hAnsi="Arial" w:cs="Arial"/>
          <w:sz w:val="22"/>
          <w:szCs w:val="22"/>
        </w:rPr>
        <w:t>(2) to any part of a health record</w:t>
      </w:r>
      <w:r w:rsidR="00FC01DD">
        <w:rPr>
          <w:rFonts w:ascii="Arial" w:hAnsi="Arial" w:cs="Arial"/>
          <w:sz w:val="22"/>
          <w:szCs w:val="22"/>
        </w:rPr>
        <w:t xml:space="preserve"> w</w:t>
      </w:r>
      <w:r w:rsidRPr="00B535CF">
        <w:rPr>
          <w:rFonts w:ascii="Arial" w:hAnsi="Arial" w:cs="Arial"/>
          <w:sz w:val="22"/>
          <w:szCs w:val="22"/>
        </w:rPr>
        <w:t>hich, in the opinion of the holder of the record, would disclose</w:t>
      </w:r>
      <w:r w:rsidR="00FC01DD">
        <w:rPr>
          <w:rFonts w:ascii="Arial" w:hAnsi="Arial" w:cs="Arial"/>
          <w:sz w:val="22"/>
          <w:szCs w:val="22"/>
        </w:rPr>
        <w:t>:</w:t>
      </w:r>
    </w:p>
    <w:p w14:paraId="58C35A41" w14:textId="3C18520D" w:rsidR="0092476B" w:rsidRPr="00B535CF" w:rsidRDefault="00C07F3D" w:rsidP="00A72725">
      <w:pPr>
        <w:pStyle w:val="NormalWeb"/>
        <w:numPr>
          <w:ilvl w:val="3"/>
          <w:numId w:val="40"/>
        </w:numPr>
        <w:spacing w:before="0" w:beforeAutospacing="0" w:after="0" w:afterAutospacing="0"/>
        <w:ind w:left="851" w:hanging="425"/>
        <w:jc w:val="both"/>
        <w:rPr>
          <w:rFonts w:ascii="Arial" w:hAnsi="Arial" w:cs="Arial"/>
          <w:sz w:val="22"/>
          <w:szCs w:val="22"/>
        </w:rPr>
      </w:pPr>
      <w:r w:rsidRPr="00B535CF">
        <w:rPr>
          <w:rFonts w:ascii="Arial" w:hAnsi="Arial" w:cs="Arial"/>
          <w:sz w:val="22"/>
          <w:szCs w:val="22"/>
        </w:rPr>
        <w:t>I</w:t>
      </w:r>
      <w:r w:rsidR="0092476B" w:rsidRPr="00B535CF">
        <w:rPr>
          <w:rFonts w:ascii="Arial" w:hAnsi="Arial" w:cs="Arial"/>
          <w:sz w:val="22"/>
          <w:szCs w:val="22"/>
        </w:rPr>
        <w:t>nformation likely to cause serious harm to the physical or mental health of any individual</w:t>
      </w:r>
    </w:p>
    <w:p w14:paraId="596A4B40" w14:textId="77777777" w:rsidR="0092476B" w:rsidRPr="00B535CF" w:rsidRDefault="0092476B" w:rsidP="00A72725">
      <w:pPr>
        <w:pStyle w:val="NormalWeb"/>
        <w:spacing w:before="0" w:beforeAutospacing="0" w:after="0" w:afterAutospacing="0"/>
        <w:ind w:left="851" w:hanging="425"/>
        <w:jc w:val="both"/>
        <w:rPr>
          <w:rFonts w:ascii="Arial" w:hAnsi="Arial" w:cs="Arial"/>
          <w:sz w:val="22"/>
          <w:szCs w:val="22"/>
        </w:rPr>
      </w:pPr>
    </w:p>
    <w:p w14:paraId="5DD5B5B5" w14:textId="5512944E" w:rsidR="0092476B" w:rsidRPr="00B535CF" w:rsidRDefault="00C07F3D" w:rsidP="00A72725">
      <w:pPr>
        <w:pStyle w:val="NormalWeb"/>
        <w:numPr>
          <w:ilvl w:val="3"/>
          <w:numId w:val="40"/>
        </w:numPr>
        <w:spacing w:before="0" w:beforeAutospacing="0" w:after="0" w:afterAutospacing="0"/>
        <w:ind w:left="851" w:hanging="425"/>
        <w:jc w:val="both"/>
        <w:rPr>
          <w:rFonts w:ascii="Arial" w:hAnsi="Arial" w:cs="Arial"/>
          <w:sz w:val="22"/>
          <w:szCs w:val="22"/>
        </w:rPr>
      </w:pPr>
      <w:r w:rsidRPr="00B535CF">
        <w:rPr>
          <w:rFonts w:ascii="Arial" w:hAnsi="Arial" w:cs="Arial"/>
          <w:sz w:val="22"/>
          <w:szCs w:val="22"/>
        </w:rPr>
        <w:t>I</w:t>
      </w:r>
      <w:r w:rsidR="0092476B" w:rsidRPr="00B535CF">
        <w:rPr>
          <w:rFonts w:ascii="Arial" w:hAnsi="Arial" w:cs="Arial"/>
          <w:sz w:val="22"/>
          <w:szCs w:val="22"/>
        </w:rPr>
        <w:t xml:space="preserve">nformation </w:t>
      </w:r>
      <w:r w:rsidR="001146DF">
        <w:rPr>
          <w:rFonts w:ascii="Arial" w:hAnsi="Arial" w:cs="Arial"/>
          <w:sz w:val="22"/>
          <w:szCs w:val="22"/>
        </w:rPr>
        <w:t xml:space="preserve">that </w:t>
      </w:r>
      <w:r w:rsidR="0092476B" w:rsidRPr="00B535CF">
        <w:rPr>
          <w:rFonts w:ascii="Arial" w:hAnsi="Arial" w:cs="Arial"/>
          <w:sz w:val="22"/>
          <w:szCs w:val="22"/>
        </w:rPr>
        <w:t>identifies a third party without that person’s consent unless that person is a health professional who has cared for the patient</w:t>
      </w:r>
    </w:p>
    <w:p w14:paraId="6AA8CA53" w14:textId="77777777" w:rsidR="0092476B" w:rsidRPr="00B535CF" w:rsidRDefault="0092476B" w:rsidP="00A72725">
      <w:pPr>
        <w:pStyle w:val="NormalWeb"/>
        <w:spacing w:before="0" w:beforeAutospacing="0" w:after="0" w:afterAutospacing="0"/>
        <w:ind w:left="851" w:hanging="425"/>
        <w:jc w:val="both"/>
        <w:rPr>
          <w:rFonts w:ascii="Arial" w:hAnsi="Arial" w:cs="Arial"/>
          <w:sz w:val="22"/>
          <w:szCs w:val="22"/>
        </w:rPr>
      </w:pPr>
    </w:p>
    <w:p w14:paraId="6866CFBB" w14:textId="77777777" w:rsidR="0092476B" w:rsidRPr="00B535CF" w:rsidRDefault="0092476B" w:rsidP="00A72725">
      <w:pPr>
        <w:pStyle w:val="NormalWeb"/>
        <w:numPr>
          <w:ilvl w:val="3"/>
          <w:numId w:val="40"/>
        </w:numPr>
        <w:spacing w:before="0" w:beforeAutospacing="0" w:after="0" w:afterAutospacing="0"/>
        <w:ind w:left="851" w:hanging="425"/>
        <w:jc w:val="both"/>
        <w:rPr>
          <w:rFonts w:ascii="Arial" w:hAnsi="Arial" w:cs="Arial"/>
          <w:sz w:val="22"/>
          <w:szCs w:val="22"/>
        </w:rPr>
      </w:pPr>
      <w:r w:rsidRPr="00B535CF">
        <w:rPr>
          <w:rFonts w:ascii="Arial" w:hAnsi="Arial" w:cs="Arial"/>
          <w:sz w:val="22"/>
          <w:szCs w:val="22"/>
        </w:rPr>
        <w:t xml:space="preserve">Information that in life the patient asked to be kept confidential. </w:t>
      </w:r>
    </w:p>
    <w:p w14:paraId="4B3C2342" w14:textId="77777777" w:rsidR="0092476B" w:rsidRPr="00B535CF" w:rsidRDefault="0092476B" w:rsidP="00C07F3D">
      <w:pPr>
        <w:pStyle w:val="NormalWeb"/>
        <w:spacing w:before="0" w:beforeAutospacing="0" w:after="0" w:afterAutospacing="0"/>
        <w:rPr>
          <w:rFonts w:ascii="Arial" w:hAnsi="Arial" w:cs="Arial"/>
          <w:sz w:val="22"/>
          <w:szCs w:val="22"/>
        </w:rPr>
      </w:pPr>
    </w:p>
    <w:p w14:paraId="53CB3613" w14:textId="0633AA0A" w:rsidR="0092476B" w:rsidRPr="00B535CF" w:rsidRDefault="0092476B" w:rsidP="00C07F3D">
      <w:pPr>
        <w:pStyle w:val="NormalWeb"/>
        <w:spacing w:before="0" w:beforeAutospacing="0" w:after="0" w:afterAutospacing="0"/>
        <w:rPr>
          <w:rFonts w:ascii="Arial" w:hAnsi="Arial" w:cs="Arial"/>
          <w:sz w:val="22"/>
          <w:szCs w:val="22"/>
        </w:rPr>
      </w:pPr>
      <w:r w:rsidRPr="00B535CF">
        <w:rPr>
          <w:rFonts w:ascii="Arial" w:hAnsi="Arial" w:cs="Arial"/>
          <w:sz w:val="22"/>
          <w:szCs w:val="22"/>
        </w:rPr>
        <w:t xml:space="preserve">This includes </w:t>
      </w:r>
      <w:r w:rsidR="001146DF">
        <w:rPr>
          <w:rFonts w:ascii="Arial" w:hAnsi="Arial" w:cs="Arial"/>
          <w:sz w:val="22"/>
          <w:szCs w:val="22"/>
        </w:rPr>
        <w:t>the harm to the deceased person</w:t>
      </w:r>
      <w:r w:rsidRPr="00B535CF">
        <w:rPr>
          <w:rFonts w:ascii="Arial" w:hAnsi="Arial" w:cs="Arial"/>
          <w:sz w:val="22"/>
          <w:szCs w:val="22"/>
        </w:rPr>
        <w:t xml:space="preserve"> and the requestor</w:t>
      </w:r>
      <w:r w:rsidR="001146DF">
        <w:rPr>
          <w:rFonts w:ascii="Arial" w:hAnsi="Arial" w:cs="Arial"/>
          <w:sz w:val="22"/>
          <w:szCs w:val="22"/>
        </w:rPr>
        <w:t xml:space="preserve">. </w:t>
      </w:r>
      <w:r w:rsidR="00FC01DD">
        <w:rPr>
          <w:rFonts w:ascii="Arial" w:hAnsi="Arial" w:cs="Arial"/>
          <w:sz w:val="22"/>
          <w:szCs w:val="22"/>
        </w:rPr>
        <w:t>T</w:t>
      </w:r>
      <w:r w:rsidR="00FC01DD" w:rsidRPr="00B535CF">
        <w:rPr>
          <w:rFonts w:ascii="Arial" w:hAnsi="Arial" w:cs="Arial"/>
          <w:sz w:val="22"/>
          <w:szCs w:val="22"/>
        </w:rPr>
        <w:t>herefore,</w:t>
      </w:r>
      <w:r w:rsidRPr="00B535CF">
        <w:rPr>
          <w:rFonts w:ascii="Arial" w:hAnsi="Arial" w:cs="Arial"/>
          <w:sz w:val="22"/>
          <w:szCs w:val="22"/>
        </w:rPr>
        <w:t xml:space="preserve"> it is up to the discretion of the clinician to either uphold patient confidence after death based on the fact disclosure of the records would cause harm or release the data.  The clinician should balance the benefit gained by disclosure to the requestor (such as family asking about </w:t>
      </w:r>
      <w:r w:rsidR="00A521D5" w:rsidRPr="00B535CF">
        <w:rPr>
          <w:rFonts w:ascii="Arial" w:hAnsi="Arial" w:cs="Arial"/>
          <w:sz w:val="22"/>
          <w:szCs w:val="22"/>
        </w:rPr>
        <w:t>a cause</w:t>
      </w:r>
      <w:r w:rsidRPr="00B535CF">
        <w:rPr>
          <w:rFonts w:ascii="Arial" w:hAnsi="Arial" w:cs="Arial"/>
          <w:sz w:val="22"/>
          <w:szCs w:val="22"/>
        </w:rPr>
        <w:t xml:space="preserve"> of death or last illness) against the duty of confidence owed to the deceased. </w:t>
      </w:r>
    </w:p>
    <w:p w14:paraId="35E66187" w14:textId="415B8D17" w:rsidR="0092476B" w:rsidRPr="00B535CF" w:rsidRDefault="0092476B" w:rsidP="0092476B">
      <w:pPr>
        <w:pStyle w:val="Heading2"/>
        <w:ind w:left="567"/>
        <w:rPr>
          <w:rFonts w:ascii="Arial" w:hAnsi="Arial" w:cs="Arial"/>
          <w:smallCaps w:val="0"/>
          <w:sz w:val="24"/>
          <w:szCs w:val="24"/>
          <w:lang w:val="en-GB"/>
        </w:rPr>
      </w:pPr>
      <w:bookmarkStart w:id="37" w:name="_Fees_for_access"/>
      <w:bookmarkStart w:id="38" w:name="_Toc101348266"/>
      <w:bookmarkEnd w:id="37"/>
      <w:r w:rsidRPr="00B535CF">
        <w:rPr>
          <w:rFonts w:ascii="Arial" w:hAnsi="Arial" w:cs="Arial"/>
          <w:smallCaps w:val="0"/>
          <w:sz w:val="24"/>
          <w:szCs w:val="24"/>
          <w:lang w:val="en-GB"/>
        </w:rPr>
        <w:lastRenderedPageBreak/>
        <w:t xml:space="preserve">Fees for </w:t>
      </w:r>
      <w:r w:rsidR="00A521D5" w:rsidRPr="00B535CF">
        <w:rPr>
          <w:rFonts w:ascii="Arial" w:hAnsi="Arial" w:cs="Arial"/>
          <w:smallCaps w:val="0"/>
          <w:sz w:val="24"/>
          <w:szCs w:val="24"/>
          <w:lang w:val="en-GB"/>
        </w:rPr>
        <w:t>a</w:t>
      </w:r>
      <w:r w:rsidRPr="00B535CF">
        <w:rPr>
          <w:rFonts w:ascii="Arial" w:hAnsi="Arial" w:cs="Arial"/>
          <w:smallCaps w:val="0"/>
          <w:sz w:val="24"/>
          <w:szCs w:val="24"/>
          <w:lang w:val="en-GB"/>
        </w:rPr>
        <w:t xml:space="preserve">ccess to </w:t>
      </w:r>
      <w:r w:rsidR="00A521D5" w:rsidRPr="00B535CF">
        <w:rPr>
          <w:rFonts w:ascii="Arial" w:hAnsi="Arial" w:cs="Arial"/>
          <w:smallCaps w:val="0"/>
          <w:sz w:val="24"/>
          <w:szCs w:val="24"/>
          <w:lang w:val="en-GB"/>
        </w:rPr>
        <w:t>d</w:t>
      </w:r>
      <w:r w:rsidRPr="00B535CF">
        <w:rPr>
          <w:rFonts w:ascii="Arial" w:hAnsi="Arial" w:cs="Arial"/>
          <w:smallCaps w:val="0"/>
          <w:sz w:val="24"/>
          <w:szCs w:val="24"/>
          <w:lang w:val="en-GB"/>
        </w:rPr>
        <w:t xml:space="preserve">eceased </w:t>
      </w:r>
      <w:r w:rsidR="00A521D5" w:rsidRPr="00B535CF">
        <w:rPr>
          <w:rFonts w:ascii="Arial" w:hAnsi="Arial" w:cs="Arial"/>
          <w:smallCaps w:val="0"/>
          <w:sz w:val="24"/>
          <w:szCs w:val="24"/>
          <w:lang w:val="en-GB"/>
        </w:rPr>
        <w:t>p</w:t>
      </w:r>
      <w:r w:rsidRPr="00B535CF">
        <w:rPr>
          <w:rFonts w:ascii="Arial" w:hAnsi="Arial" w:cs="Arial"/>
          <w:smallCaps w:val="0"/>
          <w:sz w:val="24"/>
          <w:szCs w:val="24"/>
          <w:lang w:val="en-GB"/>
        </w:rPr>
        <w:t xml:space="preserve">atients’ </w:t>
      </w:r>
      <w:r w:rsidR="00A521D5" w:rsidRPr="00B535CF">
        <w:rPr>
          <w:rFonts w:ascii="Arial" w:hAnsi="Arial" w:cs="Arial"/>
          <w:smallCaps w:val="0"/>
          <w:sz w:val="24"/>
          <w:szCs w:val="24"/>
          <w:lang w:val="en-GB"/>
        </w:rPr>
        <w:t>h</w:t>
      </w:r>
      <w:r w:rsidRPr="00B535CF">
        <w:rPr>
          <w:rFonts w:ascii="Arial" w:hAnsi="Arial" w:cs="Arial"/>
          <w:smallCaps w:val="0"/>
          <w:sz w:val="24"/>
          <w:szCs w:val="24"/>
          <w:lang w:val="en-GB"/>
        </w:rPr>
        <w:t xml:space="preserve">ealth </w:t>
      </w:r>
      <w:r w:rsidR="00A521D5" w:rsidRPr="00B535CF">
        <w:rPr>
          <w:rFonts w:ascii="Arial" w:hAnsi="Arial" w:cs="Arial"/>
          <w:smallCaps w:val="0"/>
          <w:sz w:val="24"/>
          <w:szCs w:val="24"/>
          <w:lang w:val="en-GB"/>
        </w:rPr>
        <w:t>r</w:t>
      </w:r>
      <w:r w:rsidRPr="00B535CF">
        <w:rPr>
          <w:rFonts w:ascii="Arial" w:hAnsi="Arial" w:cs="Arial"/>
          <w:smallCaps w:val="0"/>
          <w:sz w:val="24"/>
          <w:szCs w:val="24"/>
          <w:lang w:val="en-GB"/>
        </w:rPr>
        <w:t>ecords</w:t>
      </w:r>
      <w:bookmarkEnd w:id="38"/>
      <w:r w:rsidRPr="00B535CF">
        <w:rPr>
          <w:rFonts w:ascii="Arial" w:hAnsi="Arial" w:cs="Arial"/>
          <w:smallCaps w:val="0"/>
          <w:sz w:val="24"/>
          <w:szCs w:val="24"/>
          <w:lang w:val="en-GB"/>
        </w:rPr>
        <w:t xml:space="preserve"> </w:t>
      </w:r>
    </w:p>
    <w:p w14:paraId="62383DB9" w14:textId="77777777" w:rsidR="0092476B" w:rsidRPr="00B535CF" w:rsidRDefault="0092476B" w:rsidP="0092476B">
      <w:pPr>
        <w:pStyle w:val="PlainText"/>
        <w:rPr>
          <w:i/>
          <w:iCs/>
        </w:rPr>
      </w:pPr>
      <w:r w:rsidRPr="00B535CF">
        <w:rPr>
          <w:i/>
          <w:iCs/>
        </w:rPr>
        <w:t xml:space="preserve"> </w:t>
      </w:r>
    </w:p>
    <w:p w14:paraId="074007B1" w14:textId="77777777" w:rsidR="00194DC0" w:rsidRDefault="00194DC0" w:rsidP="00194DC0">
      <w:pPr>
        <w:pStyle w:val="PlainText"/>
        <w:jc w:val="both"/>
        <w:rPr>
          <w:rFonts w:ascii="Arial" w:hAnsi="Arial" w:cs="Arial"/>
        </w:rPr>
      </w:pPr>
      <w:r>
        <w:rPr>
          <w:rFonts w:ascii="Arial" w:eastAsia=".SFNSText-Regular" w:hAnsi="Arial" w:cs="Arial"/>
          <w:szCs w:val="22"/>
          <w:lang w:eastAsia="en-GB"/>
        </w:rPr>
        <w:t>Legislative changes</w:t>
      </w:r>
      <w:r>
        <w:rPr>
          <w:rStyle w:val="FootnoteReference"/>
          <w:rFonts w:ascii="Arial" w:eastAsia=".SFNSText-Regular" w:hAnsi="Arial" w:cs="Arial"/>
          <w:lang w:eastAsia="en-GB"/>
        </w:rPr>
        <w:footnoteReference w:id="3"/>
      </w:r>
      <w:r>
        <w:rPr>
          <w:rFonts w:ascii="Arial" w:eastAsia=".SFNSText-Regular" w:hAnsi="Arial" w:cs="Arial"/>
          <w:szCs w:val="22"/>
          <w:lang w:eastAsia="en-GB"/>
        </w:rPr>
        <w:t xml:space="preserve"> to the Data Protection Act 2018 has amended the Access to Health Records Act 1990 which now states </w:t>
      </w:r>
      <w:r>
        <w:rPr>
          <w:rFonts w:ascii="Arial" w:hAnsi="Arial" w:cs="Arial"/>
        </w:rPr>
        <w:t xml:space="preserve">the fee structure under the AHRA is: </w:t>
      </w:r>
    </w:p>
    <w:p w14:paraId="2A216CBB" w14:textId="01B27BBB" w:rsidR="0092476B" w:rsidRPr="00B535CF" w:rsidRDefault="0092476B" w:rsidP="00C07F3D">
      <w:pPr>
        <w:pStyle w:val="PlainText"/>
        <w:rPr>
          <w:rFonts w:ascii="Arial" w:hAnsi="Arial" w:cs="Arial"/>
        </w:rPr>
      </w:pPr>
    </w:p>
    <w:p w14:paraId="2AB39DDE" w14:textId="77777777" w:rsidR="00452353" w:rsidRDefault="0092476B" w:rsidP="00C07F3D">
      <w:pPr>
        <w:pStyle w:val="PlainText"/>
        <w:numPr>
          <w:ilvl w:val="0"/>
          <w:numId w:val="41"/>
        </w:numPr>
        <w:rPr>
          <w:rFonts w:ascii="Arial" w:hAnsi="Arial" w:cs="Arial"/>
        </w:rPr>
      </w:pPr>
      <w:r w:rsidRPr="00B535CF">
        <w:rPr>
          <w:rFonts w:ascii="Arial" w:hAnsi="Arial" w:cs="Arial"/>
          <w:b/>
          <w:bCs/>
        </w:rPr>
        <w:t>Records held manually</w:t>
      </w:r>
    </w:p>
    <w:p w14:paraId="165B0E12" w14:textId="77777777" w:rsidR="00452353" w:rsidRDefault="00452353" w:rsidP="00452353">
      <w:pPr>
        <w:pStyle w:val="PlainText"/>
        <w:ind w:left="720"/>
        <w:rPr>
          <w:rFonts w:ascii="Arial" w:hAnsi="Arial" w:cs="Arial"/>
        </w:rPr>
      </w:pPr>
    </w:p>
    <w:p w14:paraId="5F551E78" w14:textId="558A3248" w:rsidR="0092476B" w:rsidRPr="00B535CF" w:rsidRDefault="00452353" w:rsidP="00452353">
      <w:pPr>
        <w:pStyle w:val="PlainText"/>
        <w:ind w:left="720"/>
        <w:rPr>
          <w:rFonts w:ascii="Arial" w:hAnsi="Arial" w:cs="Arial"/>
        </w:rPr>
      </w:pPr>
      <w:r>
        <w:rPr>
          <w:rFonts w:ascii="Arial" w:hAnsi="Arial" w:cs="Arial"/>
        </w:rPr>
        <w:t>W</w:t>
      </w:r>
      <w:r w:rsidR="0092476B" w:rsidRPr="00B535CF">
        <w:rPr>
          <w:rFonts w:ascii="Arial" w:hAnsi="Arial" w:cs="Arial"/>
        </w:rPr>
        <w:t xml:space="preserve">here an applicant is permitted to view a record which is held manually and has been added to in the </w:t>
      </w:r>
      <w:r w:rsidR="001146DF">
        <w:rPr>
          <w:rFonts w:ascii="Arial" w:hAnsi="Arial" w:cs="Arial"/>
        </w:rPr>
        <w:t>40</w:t>
      </w:r>
      <w:r w:rsidR="0092476B" w:rsidRPr="00B535CF">
        <w:rPr>
          <w:rFonts w:ascii="Arial" w:hAnsi="Arial" w:cs="Arial"/>
        </w:rPr>
        <w:t xml:space="preserve"> days preceding the application, access is free of charge.  </w:t>
      </w:r>
    </w:p>
    <w:p w14:paraId="5F7EC7F2" w14:textId="77777777" w:rsidR="0092476B" w:rsidRPr="00B535CF" w:rsidRDefault="0092476B" w:rsidP="00C07F3D">
      <w:pPr>
        <w:pStyle w:val="PlainText"/>
        <w:rPr>
          <w:rFonts w:ascii="Arial" w:hAnsi="Arial" w:cs="Arial"/>
        </w:rPr>
      </w:pPr>
    </w:p>
    <w:p w14:paraId="483CC321" w14:textId="77777777" w:rsidR="00452353" w:rsidRDefault="0092476B" w:rsidP="00C07F3D">
      <w:pPr>
        <w:pStyle w:val="PlainText"/>
        <w:numPr>
          <w:ilvl w:val="0"/>
          <w:numId w:val="41"/>
        </w:numPr>
        <w:rPr>
          <w:rFonts w:ascii="Arial" w:hAnsi="Arial" w:cs="Arial"/>
        </w:rPr>
      </w:pPr>
      <w:r w:rsidRPr="00B535CF">
        <w:rPr>
          <w:rFonts w:ascii="Arial" w:hAnsi="Arial" w:cs="Arial"/>
          <w:b/>
          <w:bCs/>
        </w:rPr>
        <w:t>Records held wholly or partially on computer</w:t>
      </w:r>
    </w:p>
    <w:p w14:paraId="28514F95" w14:textId="77777777" w:rsidR="00452353" w:rsidRDefault="00452353" w:rsidP="00452353">
      <w:pPr>
        <w:pStyle w:val="PlainText"/>
        <w:ind w:left="720"/>
        <w:rPr>
          <w:rFonts w:ascii="Arial" w:hAnsi="Arial" w:cs="Arial"/>
        </w:rPr>
      </w:pPr>
    </w:p>
    <w:p w14:paraId="1DC96D67" w14:textId="3741536E" w:rsidR="0092476B" w:rsidRPr="00B535CF" w:rsidRDefault="00452353" w:rsidP="00452353">
      <w:pPr>
        <w:pStyle w:val="PlainText"/>
        <w:ind w:left="720"/>
        <w:rPr>
          <w:rFonts w:ascii="Arial" w:hAnsi="Arial" w:cs="Arial"/>
        </w:rPr>
      </w:pPr>
      <w:r>
        <w:rPr>
          <w:rFonts w:ascii="Arial" w:hAnsi="Arial" w:cs="Arial"/>
        </w:rPr>
        <w:t>W</w:t>
      </w:r>
      <w:r w:rsidR="0092476B" w:rsidRPr="00B535CF">
        <w:rPr>
          <w:rFonts w:ascii="Arial" w:hAnsi="Arial" w:cs="Arial"/>
        </w:rPr>
        <w:t>here an applicant is permitted to view a record which is held wholly or partially on computer</w:t>
      </w:r>
      <w:r w:rsidR="001146DF">
        <w:rPr>
          <w:rFonts w:ascii="Arial" w:hAnsi="Arial" w:cs="Arial"/>
        </w:rPr>
        <w:t>, this is also</w:t>
      </w:r>
      <w:r w:rsidR="0092476B" w:rsidRPr="00B535CF">
        <w:rPr>
          <w:rFonts w:ascii="Arial" w:hAnsi="Arial" w:cs="Arial"/>
        </w:rPr>
        <w:t xml:space="preserve"> free</w:t>
      </w:r>
      <w:r w:rsidR="001146DF">
        <w:rPr>
          <w:rFonts w:ascii="Arial" w:hAnsi="Arial" w:cs="Arial"/>
        </w:rPr>
        <w:t xml:space="preserve"> of charge</w:t>
      </w:r>
      <w:r w:rsidR="00A72725">
        <w:rPr>
          <w:rFonts w:ascii="Arial" w:hAnsi="Arial" w:cs="Arial"/>
        </w:rPr>
        <w:t>.</w:t>
      </w:r>
      <w:r w:rsidR="0092476B" w:rsidRPr="00B535CF">
        <w:rPr>
          <w:rFonts w:ascii="Arial" w:hAnsi="Arial" w:cs="Arial"/>
        </w:rPr>
        <w:t xml:space="preserve"> </w:t>
      </w:r>
    </w:p>
    <w:p w14:paraId="5376BDC4" w14:textId="77777777" w:rsidR="0092476B" w:rsidRPr="00B535CF" w:rsidRDefault="0092476B" w:rsidP="00C07F3D">
      <w:pPr>
        <w:pStyle w:val="ListParagraph"/>
        <w:rPr>
          <w:rFonts w:ascii="Arial" w:hAnsi="Arial" w:cs="Arial"/>
        </w:rPr>
      </w:pPr>
    </w:p>
    <w:p w14:paraId="70430094" w14:textId="77777777" w:rsidR="00452353" w:rsidRDefault="0092476B" w:rsidP="00C07F3D">
      <w:pPr>
        <w:pStyle w:val="PlainText"/>
        <w:numPr>
          <w:ilvl w:val="0"/>
          <w:numId w:val="41"/>
        </w:numPr>
        <w:rPr>
          <w:rFonts w:ascii="Arial" w:hAnsi="Arial" w:cs="Arial"/>
        </w:rPr>
      </w:pPr>
      <w:r w:rsidRPr="00B535CF">
        <w:rPr>
          <w:rFonts w:ascii="Arial" w:hAnsi="Arial" w:cs="Arial"/>
          <w:b/>
          <w:bCs/>
        </w:rPr>
        <w:t>Hard copies of information</w:t>
      </w:r>
    </w:p>
    <w:p w14:paraId="49BE4639" w14:textId="77777777" w:rsidR="00452353" w:rsidRDefault="00452353" w:rsidP="00452353">
      <w:pPr>
        <w:pStyle w:val="PlainText"/>
        <w:ind w:left="720"/>
        <w:rPr>
          <w:rFonts w:ascii="Arial" w:hAnsi="Arial" w:cs="Arial"/>
        </w:rPr>
      </w:pPr>
    </w:p>
    <w:p w14:paraId="0D5AEEA2" w14:textId="602A7A07" w:rsidR="0092476B" w:rsidRPr="00B535CF" w:rsidRDefault="00452353" w:rsidP="00452353">
      <w:pPr>
        <w:pStyle w:val="PlainText"/>
        <w:ind w:left="720"/>
        <w:rPr>
          <w:rFonts w:ascii="Arial" w:hAnsi="Arial" w:cs="Arial"/>
        </w:rPr>
      </w:pPr>
      <w:r>
        <w:rPr>
          <w:rFonts w:ascii="Arial" w:hAnsi="Arial" w:cs="Arial"/>
        </w:rPr>
        <w:t>I</w:t>
      </w:r>
      <w:r w:rsidR="0092476B" w:rsidRPr="00B535CF">
        <w:rPr>
          <w:rFonts w:ascii="Arial" w:hAnsi="Arial" w:cs="Arial"/>
        </w:rPr>
        <w:t xml:space="preserve">f an </w:t>
      </w:r>
      <w:r w:rsidR="00194DC0">
        <w:rPr>
          <w:rFonts w:ascii="Arial" w:hAnsi="Arial" w:cs="Arial"/>
        </w:rPr>
        <w:t xml:space="preserve">appropriate </w:t>
      </w:r>
      <w:r w:rsidR="0092476B" w:rsidRPr="00B535CF">
        <w:rPr>
          <w:rFonts w:ascii="Arial" w:hAnsi="Arial" w:cs="Arial"/>
        </w:rPr>
        <w:t>applicant wishes to obtain a copy of the record,</w:t>
      </w:r>
      <w:r w:rsidR="00194DC0">
        <w:rPr>
          <w:rFonts w:ascii="Arial" w:hAnsi="Arial" w:cs="Arial"/>
        </w:rPr>
        <w:t xml:space="preserve"> this is provided free of charge</w:t>
      </w:r>
      <w:r w:rsidR="0092476B" w:rsidRPr="00B535CF">
        <w:rPr>
          <w:rFonts w:ascii="Arial" w:hAnsi="Arial" w:cs="Arial"/>
        </w:rPr>
        <w:t xml:space="preserve">.  </w:t>
      </w:r>
    </w:p>
    <w:p w14:paraId="74817BF0" w14:textId="77777777" w:rsidR="0092476B" w:rsidRPr="00B535CF" w:rsidRDefault="0092476B" w:rsidP="00C07F3D">
      <w:pPr>
        <w:pStyle w:val="PlainText"/>
        <w:rPr>
          <w:rFonts w:ascii="Arial" w:hAnsi="Arial" w:cs="Arial"/>
        </w:rPr>
      </w:pPr>
    </w:p>
    <w:p w14:paraId="55E172F8" w14:textId="3A4F684D" w:rsidR="00FC01DD" w:rsidRDefault="0092476B" w:rsidP="00C07F3D">
      <w:pPr>
        <w:pStyle w:val="PlainText"/>
        <w:rPr>
          <w:rFonts w:ascii="Arial" w:hAnsi="Arial" w:cs="Arial"/>
        </w:rPr>
      </w:pPr>
      <w:r w:rsidRPr="00B535CF">
        <w:rPr>
          <w:rFonts w:ascii="Arial" w:hAnsi="Arial" w:cs="Arial"/>
        </w:rPr>
        <w:t xml:space="preserve">Where health information is to be disclosed for the deceased in the absence of a statutory basis, </w:t>
      </w:r>
      <w:r w:rsidR="00194DC0">
        <w:rPr>
          <w:rFonts w:ascii="Arial" w:hAnsi="Arial" w:cs="Arial"/>
        </w:rPr>
        <w:t>e</w:t>
      </w:r>
      <w:r w:rsidR="00FC01DD">
        <w:rPr>
          <w:rFonts w:ascii="Arial" w:hAnsi="Arial" w:cs="Arial"/>
        </w:rPr>
        <w:t>.</w:t>
      </w:r>
      <w:r w:rsidR="00194DC0">
        <w:rPr>
          <w:rFonts w:ascii="Arial" w:hAnsi="Arial" w:cs="Arial"/>
        </w:rPr>
        <w:t>g.</w:t>
      </w:r>
      <w:r w:rsidR="00A72725">
        <w:rPr>
          <w:rFonts w:ascii="Arial" w:hAnsi="Arial" w:cs="Arial"/>
        </w:rPr>
        <w:t>, w</w:t>
      </w:r>
      <w:r w:rsidR="00194DC0">
        <w:rPr>
          <w:rFonts w:ascii="Arial" w:hAnsi="Arial" w:cs="Arial"/>
        </w:rPr>
        <w:t xml:space="preserve">hen a solicitor or insurance company requests a medical report or information to confirm death or </w:t>
      </w:r>
      <w:r w:rsidR="006A0B9B">
        <w:rPr>
          <w:rFonts w:ascii="Arial" w:hAnsi="Arial" w:cs="Arial"/>
        </w:rPr>
        <w:t xml:space="preserve">an </w:t>
      </w:r>
      <w:r w:rsidR="00194DC0">
        <w:rPr>
          <w:rFonts w:ascii="Arial" w:hAnsi="Arial" w:cs="Arial"/>
        </w:rPr>
        <w:t>interpretation of what is in the records</w:t>
      </w:r>
      <w:r w:rsidR="006A0B9B">
        <w:rPr>
          <w:rFonts w:ascii="Arial" w:hAnsi="Arial" w:cs="Arial"/>
        </w:rPr>
        <w:t>, t</w:t>
      </w:r>
      <w:r w:rsidR="00194DC0">
        <w:rPr>
          <w:rFonts w:ascii="Arial" w:hAnsi="Arial" w:cs="Arial"/>
        </w:rPr>
        <w:t xml:space="preserve">his is classed as private work over and above </w:t>
      </w:r>
      <w:r w:rsidR="006A0B9B">
        <w:rPr>
          <w:rFonts w:ascii="Arial" w:hAnsi="Arial" w:cs="Arial"/>
        </w:rPr>
        <w:t>that which</w:t>
      </w:r>
      <w:r w:rsidR="00194DC0">
        <w:rPr>
          <w:rFonts w:ascii="Arial" w:hAnsi="Arial" w:cs="Arial"/>
        </w:rPr>
        <w:t xml:space="preserve"> is already available in the record. </w:t>
      </w:r>
    </w:p>
    <w:p w14:paraId="136123A6" w14:textId="77777777" w:rsidR="006A0B9B" w:rsidRDefault="006A0B9B" w:rsidP="00C07F3D">
      <w:pPr>
        <w:pStyle w:val="PlainText"/>
        <w:rPr>
          <w:rFonts w:ascii="Arial" w:hAnsi="Arial" w:cs="Arial"/>
        </w:rPr>
      </w:pPr>
    </w:p>
    <w:p w14:paraId="267CA425" w14:textId="10A14A56" w:rsidR="0092476B" w:rsidRDefault="00194DC0" w:rsidP="00C07F3D">
      <w:pPr>
        <w:pStyle w:val="PlainText"/>
        <w:rPr>
          <w:rFonts w:ascii="Arial" w:hAnsi="Arial" w:cs="Arial"/>
        </w:rPr>
      </w:pPr>
      <w:r>
        <w:rPr>
          <w:rFonts w:ascii="Arial" w:hAnsi="Arial" w:cs="Arial"/>
        </w:rPr>
        <w:t>A</w:t>
      </w:r>
      <w:r w:rsidR="0092476B" w:rsidRPr="00B535CF">
        <w:rPr>
          <w:rFonts w:ascii="Arial" w:hAnsi="Arial" w:cs="Arial"/>
        </w:rPr>
        <w:t xml:space="preserve">ny fees charged should be reasonable and proportionate to cover the cost of satisfying a request. </w:t>
      </w:r>
    </w:p>
    <w:p w14:paraId="16AD6D1B" w14:textId="77777777" w:rsidR="006A0B9B" w:rsidRPr="00B535CF" w:rsidRDefault="006A0B9B" w:rsidP="00C07F3D">
      <w:pPr>
        <w:pStyle w:val="PlainText"/>
        <w:rPr>
          <w:rFonts w:ascii="Arial" w:hAnsi="Arial" w:cs="Arial"/>
        </w:rPr>
      </w:pPr>
    </w:p>
    <w:p w14:paraId="16B1DFF5" w14:textId="78C1B229" w:rsidR="0092476B" w:rsidRPr="00B535CF" w:rsidRDefault="0092476B" w:rsidP="0092476B">
      <w:pPr>
        <w:pStyle w:val="Heading2"/>
        <w:ind w:left="567"/>
        <w:rPr>
          <w:rFonts w:ascii="Arial" w:hAnsi="Arial" w:cs="Arial"/>
          <w:smallCaps w:val="0"/>
          <w:sz w:val="24"/>
          <w:szCs w:val="24"/>
          <w:lang w:val="en-GB"/>
        </w:rPr>
      </w:pPr>
      <w:bookmarkStart w:id="39" w:name="_Toc101348267"/>
      <w:r w:rsidRPr="00B535CF">
        <w:rPr>
          <w:rFonts w:ascii="Arial" w:hAnsi="Arial" w:cs="Arial"/>
          <w:smallCaps w:val="0"/>
          <w:sz w:val="24"/>
          <w:szCs w:val="24"/>
          <w:lang w:val="en-GB"/>
        </w:rPr>
        <w:t xml:space="preserve">Exemptions to </w:t>
      </w:r>
      <w:r w:rsidR="00140DFD" w:rsidRPr="00B535CF">
        <w:rPr>
          <w:rFonts w:ascii="Arial" w:hAnsi="Arial" w:cs="Arial"/>
          <w:smallCaps w:val="0"/>
          <w:sz w:val="24"/>
          <w:szCs w:val="24"/>
          <w:lang w:val="en-GB"/>
        </w:rPr>
        <w:t>d</w:t>
      </w:r>
      <w:r w:rsidRPr="00B535CF">
        <w:rPr>
          <w:rFonts w:ascii="Arial" w:hAnsi="Arial" w:cs="Arial"/>
          <w:smallCaps w:val="0"/>
          <w:sz w:val="24"/>
          <w:szCs w:val="24"/>
          <w:lang w:val="en-GB"/>
        </w:rPr>
        <w:t xml:space="preserve">isclosures of </w:t>
      </w:r>
      <w:r w:rsidR="00140DFD" w:rsidRPr="00B535CF">
        <w:rPr>
          <w:rFonts w:ascii="Arial" w:hAnsi="Arial" w:cs="Arial"/>
          <w:smallCaps w:val="0"/>
          <w:sz w:val="24"/>
          <w:szCs w:val="24"/>
          <w:lang w:val="en-GB"/>
        </w:rPr>
        <w:t>i</w:t>
      </w:r>
      <w:r w:rsidRPr="00B535CF">
        <w:rPr>
          <w:rFonts w:ascii="Arial" w:hAnsi="Arial" w:cs="Arial"/>
          <w:smallCaps w:val="0"/>
          <w:sz w:val="24"/>
          <w:szCs w:val="24"/>
          <w:lang w:val="en-GB"/>
        </w:rPr>
        <w:t xml:space="preserve">nformation </w:t>
      </w:r>
      <w:r w:rsidR="00140DFD" w:rsidRPr="00B535CF">
        <w:rPr>
          <w:rFonts w:ascii="Arial" w:hAnsi="Arial" w:cs="Arial"/>
          <w:smallCaps w:val="0"/>
          <w:sz w:val="24"/>
          <w:szCs w:val="24"/>
          <w:lang w:val="en-GB"/>
        </w:rPr>
        <w:t>r</w:t>
      </w:r>
      <w:r w:rsidRPr="00B535CF">
        <w:rPr>
          <w:rFonts w:ascii="Arial" w:hAnsi="Arial" w:cs="Arial"/>
          <w:smallCaps w:val="0"/>
          <w:sz w:val="24"/>
          <w:szCs w:val="24"/>
          <w:lang w:val="en-GB"/>
        </w:rPr>
        <w:t xml:space="preserve">elating to </w:t>
      </w:r>
      <w:r w:rsidR="00140DFD" w:rsidRPr="00B535CF">
        <w:rPr>
          <w:rFonts w:ascii="Arial" w:hAnsi="Arial" w:cs="Arial"/>
          <w:smallCaps w:val="0"/>
          <w:sz w:val="24"/>
          <w:szCs w:val="24"/>
          <w:lang w:val="en-GB"/>
        </w:rPr>
        <w:t>d</w:t>
      </w:r>
      <w:r w:rsidRPr="00B535CF">
        <w:rPr>
          <w:rFonts w:ascii="Arial" w:hAnsi="Arial" w:cs="Arial"/>
          <w:smallCaps w:val="0"/>
          <w:sz w:val="24"/>
          <w:szCs w:val="24"/>
          <w:lang w:val="en-GB"/>
        </w:rPr>
        <w:t xml:space="preserve">eceased </w:t>
      </w:r>
      <w:r w:rsidR="00140DFD" w:rsidRPr="00B535CF">
        <w:rPr>
          <w:rFonts w:ascii="Arial" w:hAnsi="Arial" w:cs="Arial"/>
          <w:smallCaps w:val="0"/>
          <w:sz w:val="24"/>
          <w:szCs w:val="24"/>
          <w:lang w:val="en-GB"/>
        </w:rPr>
        <w:t>p</w:t>
      </w:r>
      <w:r w:rsidRPr="00B535CF">
        <w:rPr>
          <w:rFonts w:ascii="Arial" w:hAnsi="Arial" w:cs="Arial"/>
          <w:smallCaps w:val="0"/>
          <w:sz w:val="24"/>
          <w:szCs w:val="24"/>
          <w:lang w:val="en-GB"/>
        </w:rPr>
        <w:t>atients</w:t>
      </w:r>
      <w:bookmarkEnd w:id="39"/>
      <w:r w:rsidRPr="00B535CF">
        <w:rPr>
          <w:rFonts w:ascii="Arial" w:hAnsi="Arial" w:cs="Arial"/>
          <w:smallCaps w:val="0"/>
          <w:sz w:val="24"/>
          <w:szCs w:val="24"/>
          <w:lang w:val="en-GB"/>
        </w:rPr>
        <w:t xml:space="preserve"> </w:t>
      </w:r>
    </w:p>
    <w:p w14:paraId="40E97C8A" w14:textId="77777777" w:rsidR="0092476B" w:rsidRPr="00B535CF" w:rsidRDefault="0092476B" w:rsidP="00C07F3D">
      <w:pPr>
        <w:pStyle w:val="PlainText"/>
        <w:rPr>
          <w:i/>
          <w:iCs/>
        </w:rPr>
      </w:pPr>
      <w:r w:rsidRPr="00B535CF">
        <w:rPr>
          <w:i/>
          <w:iCs/>
        </w:rPr>
        <w:t xml:space="preserve"> </w:t>
      </w:r>
    </w:p>
    <w:p w14:paraId="585B9F5C" w14:textId="46E6FD8C" w:rsidR="0092476B" w:rsidRPr="00B535CF" w:rsidRDefault="0092476B" w:rsidP="00C07F3D">
      <w:pPr>
        <w:pStyle w:val="PlainText"/>
        <w:rPr>
          <w:i/>
          <w:iCs/>
        </w:rPr>
      </w:pPr>
      <w:r w:rsidRPr="00B535CF">
        <w:rPr>
          <w:rFonts w:ascii="Arial" w:hAnsi="Arial" w:cs="Arial"/>
        </w:rPr>
        <w:t>If the deceased person had indicated that they did not wish information to be disclosed, or the record contains information that the deceased person expected to remain confidential, then it should remain so unless there is an overriding public interest in disclosing</w:t>
      </w:r>
      <w:r w:rsidR="001146DF">
        <w:rPr>
          <w:rFonts w:ascii="Arial" w:hAnsi="Arial" w:cs="Arial"/>
        </w:rPr>
        <w:t xml:space="preserve"> this</w:t>
      </w:r>
      <w:r w:rsidRPr="00B535CF">
        <w:rPr>
          <w:rFonts w:ascii="Arial" w:hAnsi="Arial" w:cs="Arial"/>
        </w:rPr>
        <w:t xml:space="preserve">.  </w:t>
      </w:r>
    </w:p>
    <w:p w14:paraId="4DFD7579" w14:textId="77777777" w:rsidR="0092476B" w:rsidRPr="00B535CF" w:rsidRDefault="0092476B" w:rsidP="00C07F3D">
      <w:pPr>
        <w:pStyle w:val="PlainText"/>
        <w:rPr>
          <w:rFonts w:ascii="Arial" w:hAnsi="Arial" w:cs="Arial"/>
        </w:rPr>
      </w:pPr>
      <w:r w:rsidRPr="00B535CF">
        <w:rPr>
          <w:rFonts w:ascii="Arial" w:hAnsi="Arial" w:cs="Arial"/>
        </w:rPr>
        <w:t xml:space="preserve"> </w:t>
      </w:r>
    </w:p>
    <w:p w14:paraId="331C4649" w14:textId="73430B5E" w:rsidR="0092476B" w:rsidRDefault="0092476B" w:rsidP="00C07F3D">
      <w:pPr>
        <w:pStyle w:val="PlainText"/>
        <w:rPr>
          <w:rFonts w:ascii="Arial" w:hAnsi="Arial" w:cs="Arial"/>
        </w:rPr>
      </w:pPr>
      <w:r w:rsidRPr="00B535CF">
        <w:rPr>
          <w:rFonts w:ascii="Arial" w:hAnsi="Arial" w:cs="Arial"/>
        </w:rPr>
        <w:t>In addition, the record holder has the right to deny or restrict access to the record if it is felt that</w:t>
      </w:r>
      <w:r w:rsidR="001146DF">
        <w:rPr>
          <w:rFonts w:ascii="Arial" w:hAnsi="Arial" w:cs="Arial"/>
        </w:rPr>
        <w:t xml:space="preserve"> disclosure would</w:t>
      </w:r>
      <w:r w:rsidRPr="00B535CF">
        <w:rPr>
          <w:rFonts w:ascii="Arial" w:hAnsi="Arial" w:cs="Arial"/>
        </w:rPr>
        <w:t xml:space="preserve">: </w:t>
      </w:r>
    </w:p>
    <w:p w14:paraId="2699BF0D" w14:textId="77777777" w:rsidR="001146DF" w:rsidRPr="00B535CF" w:rsidRDefault="001146DF" w:rsidP="00C07F3D">
      <w:pPr>
        <w:pStyle w:val="PlainText"/>
        <w:rPr>
          <w:rFonts w:ascii="Arial" w:hAnsi="Arial" w:cs="Arial"/>
        </w:rPr>
      </w:pPr>
    </w:p>
    <w:p w14:paraId="5EC12C12" w14:textId="163F7090" w:rsidR="0092476B" w:rsidRPr="00B535CF" w:rsidRDefault="00FC01DD" w:rsidP="00C07F3D">
      <w:pPr>
        <w:pStyle w:val="PlainText"/>
        <w:numPr>
          <w:ilvl w:val="0"/>
          <w:numId w:val="42"/>
        </w:numPr>
        <w:rPr>
          <w:rFonts w:ascii="Arial" w:hAnsi="Arial" w:cs="Arial"/>
        </w:rPr>
      </w:pPr>
      <w:r>
        <w:rPr>
          <w:rFonts w:ascii="Arial" w:hAnsi="Arial" w:cs="Arial"/>
        </w:rPr>
        <w:t>C</w:t>
      </w:r>
      <w:r w:rsidRPr="00B535CF">
        <w:rPr>
          <w:rFonts w:ascii="Arial" w:hAnsi="Arial" w:cs="Arial"/>
        </w:rPr>
        <w:t xml:space="preserve">ause </w:t>
      </w:r>
      <w:r w:rsidR="0092476B" w:rsidRPr="00B535CF">
        <w:rPr>
          <w:rFonts w:ascii="Arial" w:hAnsi="Arial" w:cs="Arial"/>
        </w:rPr>
        <w:t>serious harm to the physical or mental health of any other person</w:t>
      </w:r>
    </w:p>
    <w:p w14:paraId="33C4884E" w14:textId="77777777" w:rsidR="0092476B" w:rsidRPr="00B535CF" w:rsidRDefault="0092476B" w:rsidP="0092476B">
      <w:pPr>
        <w:pStyle w:val="PlainText"/>
        <w:ind w:left="720"/>
        <w:jc w:val="both"/>
        <w:rPr>
          <w:rFonts w:ascii="Arial" w:hAnsi="Arial" w:cs="Arial"/>
        </w:rPr>
      </w:pPr>
    </w:p>
    <w:p w14:paraId="4066CA47" w14:textId="1ACE104B" w:rsidR="0092476B" w:rsidRPr="00B535CF" w:rsidRDefault="00FC01DD" w:rsidP="001A7A41">
      <w:pPr>
        <w:pStyle w:val="PlainText"/>
        <w:numPr>
          <w:ilvl w:val="0"/>
          <w:numId w:val="42"/>
        </w:numPr>
        <w:rPr>
          <w:rFonts w:ascii="Arial" w:hAnsi="Arial" w:cs="Arial"/>
        </w:rPr>
      </w:pPr>
      <w:r>
        <w:rPr>
          <w:rFonts w:ascii="Arial" w:hAnsi="Arial" w:cs="Arial"/>
        </w:rPr>
        <w:t>I</w:t>
      </w:r>
      <w:r w:rsidRPr="00B535CF">
        <w:rPr>
          <w:rFonts w:ascii="Arial" w:hAnsi="Arial" w:cs="Arial"/>
        </w:rPr>
        <w:t xml:space="preserve">dentify </w:t>
      </w:r>
      <w:r w:rsidR="0092476B" w:rsidRPr="00B535CF">
        <w:rPr>
          <w:rFonts w:ascii="Arial" w:hAnsi="Arial" w:cs="Arial"/>
        </w:rPr>
        <w:t xml:space="preserve">a third person who has not consented to the release of that information </w:t>
      </w:r>
    </w:p>
    <w:p w14:paraId="77FA6877" w14:textId="794A4625" w:rsidR="00C14BBC" w:rsidRPr="00B535CF" w:rsidRDefault="00C14BBC" w:rsidP="00C14BBC">
      <w:pPr>
        <w:pStyle w:val="Heading1"/>
        <w:keepLines/>
        <w:pBdr>
          <w:bottom w:val="single" w:sz="4" w:space="1" w:color="595959" w:themeColor="text1" w:themeTint="A6"/>
        </w:pBdr>
        <w:spacing w:before="360" w:after="160" w:line="259" w:lineRule="auto"/>
        <w:rPr>
          <w:sz w:val="28"/>
          <w:szCs w:val="28"/>
        </w:rPr>
      </w:pPr>
      <w:bookmarkStart w:id="40" w:name="_Toc101348268"/>
      <w:r w:rsidRPr="00B535CF">
        <w:rPr>
          <w:sz w:val="28"/>
          <w:szCs w:val="28"/>
        </w:rPr>
        <w:lastRenderedPageBreak/>
        <w:t>Summary</w:t>
      </w:r>
      <w:bookmarkEnd w:id="40"/>
    </w:p>
    <w:p w14:paraId="75DFB4C1" w14:textId="00127BE5" w:rsidR="00F575D6" w:rsidRPr="00B535CF" w:rsidRDefault="00B535CF" w:rsidP="00B566D0">
      <w:pPr>
        <w:rPr>
          <w:rFonts w:ascii="Arial" w:hAnsi="Arial" w:cs="Arial"/>
          <w:sz w:val="22"/>
          <w:szCs w:val="22"/>
          <w:lang w:eastAsia="en-US"/>
        </w:rPr>
      </w:pPr>
      <w:r>
        <w:rPr>
          <w:rFonts w:ascii="Arial" w:hAnsi="Arial" w:cs="Arial"/>
          <w:sz w:val="22"/>
          <w:szCs w:val="22"/>
        </w:rPr>
        <w:t xml:space="preserve">Staff </w:t>
      </w:r>
      <w:r w:rsidR="001146DF">
        <w:rPr>
          <w:rFonts w:ascii="Arial" w:hAnsi="Arial" w:cs="Arial"/>
          <w:sz w:val="22"/>
          <w:szCs w:val="22"/>
        </w:rPr>
        <w:t>who</w:t>
      </w:r>
      <w:r>
        <w:rPr>
          <w:rFonts w:ascii="Arial" w:hAnsi="Arial" w:cs="Arial"/>
          <w:sz w:val="22"/>
          <w:szCs w:val="22"/>
        </w:rPr>
        <w:t xml:space="preserve"> are involved in handling </w:t>
      </w:r>
      <w:r w:rsidR="00C14BBC" w:rsidRPr="00B535CF">
        <w:rPr>
          <w:rFonts w:ascii="Arial" w:hAnsi="Arial" w:cs="Arial"/>
          <w:sz w:val="22"/>
          <w:szCs w:val="22"/>
        </w:rPr>
        <w:t xml:space="preserve">medical records </w:t>
      </w:r>
      <w:r>
        <w:rPr>
          <w:rFonts w:ascii="Arial" w:hAnsi="Arial" w:cs="Arial"/>
          <w:sz w:val="22"/>
          <w:szCs w:val="22"/>
        </w:rPr>
        <w:t>at this organisation are to be aware of the process that governs</w:t>
      </w:r>
      <w:r w:rsidR="00C14BBC" w:rsidRPr="00B535CF">
        <w:rPr>
          <w:rFonts w:ascii="Arial" w:hAnsi="Arial" w:cs="Arial"/>
          <w:sz w:val="22"/>
          <w:szCs w:val="22"/>
        </w:rPr>
        <w:t xml:space="preserve"> </w:t>
      </w:r>
      <w:r>
        <w:rPr>
          <w:rFonts w:ascii="Arial" w:hAnsi="Arial" w:cs="Arial"/>
          <w:sz w:val="22"/>
          <w:szCs w:val="22"/>
        </w:rPr>
        <w:t xml:space="preserve">the accessing of </w:t>
      </w:r>
      <w:r w:rsidR="00C14BBC" w:rsidRPr="00B535CF">
        <w:rPr>
          <w:rFonts w:ascii="Arial" w:hAnsi="Arial" w:cs="Arial"/>
          <w:sz w:val="22"/>
          <w:szCs w:val="22"/>
        </w:rPr>
        <w:t xml:space="preserve">deceased </w:t>
      </w:r>
      <w:r>
        <w:rPr>
          <w:rFonts w:ascii="Arial" w:hAnsi="Arial" w:cs="Arial"/>
          <w:sz w:val="22"/>
          <w:szCs w:val="22"/>
        </w:rPr>
        <w:t>patients</w:t>
      </w:r>
      <w:r w:rsidR="001146DF">
        <w:rPr>
          <w:rFonts w:ascii="Arial" w:hAnsi="Arial" w:cs="Arial"/>
          <w:sz w:val="22"/>
          <w:szCs w:val="22"/>
        </w:rPr>
        <w:t>’ records</w:t>
      </w:r>
      <w:r>
        <w:rPr>
          <w:rFonts w:ascii="Arial" w:hAnsi="Arial" w:cs="Arial"/>
          <w:sz w:val="22"/>
          <w:szCs w:val="22"/>
        </w:rPr>
        <w:t xml:space="preserve"> and how this differs to those patients</w:t>
      </w:r>
      <w:r w:rsidR="001146DF">
        <w:rPr>
          <w:rFonts w:ascii="Arial" w:hAnsi="Arial" w:cs="Arial"/>
          <w:sz w:val="22"/>
          <w:szCs w:val="22"/>
        </w:rPr>
        <w:t xml:space="preserve"> who</w:t>
      </w:r>
      <w:r>
        <w:rPr>
          <w:rFonts w:ascii="Arial" w:hAnsi="Arial" w:cs="Arial"/>
          <w:sz w:val="22"/>
          <w:szCs w:val="22"/>
        </w:rPr>
        <w:t xml:space="preserve"> are living.</w:t>
      </w:r>
    </w:p>
    <w:p w14:paraId="22265138" w14:textId="77777777" w:rsidR="00F575D6" w:rsidRPr="00B535CF" w:rsidRDefault="00F575D6" w:rsidP="00B566D0">
      <w:pPr>
        <w:rPr>
          <w:rFonts w:ascii="Arial" w:hAnsi="Arial" w:cs="Arial"/>
          <w:sz w:val="22"/>
          <w:szCs w:val="22"/>
          <w:lang w:eastAsia="en-US"/>
        </w:rPr>
      </w:pPr>
    </w:p>
    <w:p w14:paraId="3306839F" w14:textId="77777777" w:rsidR="00F575D6" w:rsidRPr="00B535CF" w:rsidRDefault="00F575D6" w:rsidP="00B566D0">
      <w:pPr>
        <w:rPr>
          <w:rFonts w:ascii="Arial" w:hAnsi="Arial" w:cs="Arial"/>
          <w:sz w:val="22"/>
          <w:szCs w:val="22"/>
          <w:lang w:eastAsia="en-US"/>
        </w:rPr>
      </w:pPr>
    </w:p>
    <w:p w14:paraId="1BF44008" w14:textId="77777777" w:rsidR="00F575D6" w:rsidRPr="00B535CF" w:rsidRDefault="00F575D6" w:rsidP="00B566D0">
      <w:pPr>
        <w:rPr>
          <w:rFonts w:ascii="Arial" w:hAnsi="Arial" w:cs="Arial"/>
          <w:sz w:val="22"/>
          <w:szCs w:val="22"/>
          <w:lang w:eastAsia="en-US"/>
        </w:rPr>
      </w:pPr>
    </w:p>
    <w:p w14:paraId="04494183" w14:textId="77777777" w:rsidR="00F575D6" w:rsidRPr="00B535CF" w:rsidRDefault="00F575D6" w:rsidP="00B566D0">
      <w:pPr>
        <w:rPr>
          <w:rFonts w:ascii="Arial" w:hAnsi="Arial" w:cs="Arial"/>
          <w:sz w:val="22"/>
          <w:szCs w:val="22"/>
          <w:lang w:eastAsia="en-US"/>
        </w:rPr>
      </w:pPr>
    </w:p>
    <w:p w14:paraId="0962E076" w14:textId="77777777" w:rsidR="00F575D6" w:rsidRPr="00B535CF" w:rsidRDefault="00F575D6" w:rsidP="00B566D0">
      <w:pPr>
        <w:rPr>
          <w:rFonts w:ascii="Arial" w:hAnsi="Arial" w:cs="Arial"/>
          <w:sz w:val="22"/>
          <w:szCs w:val="22"/>
          <w:lang w:eastAsia="en-US"/>
        </w:rPr>
      </w:pPr>
    </w:p>
    <w:sectPr w:rsidR="00F575D6" w:rsidRPr="00B535CF" w:rsidSect="0064450D">
      <w:headerReference w:type="default" r:id="rId13"/>
      <w:footerReference w:type="default" r:id="rId14"/>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D2FA3" w14:textId="77777777" w:rsidR="00E43091" w:rsidRDefault="00E43091" w:rsidP="00D85E4D">
      <w:r>
        <w:separator/>
      </w:r>
    </w:p>
  </w:endnote>
  <w:endnote w:type="continuationSeparator" w:id="0">
    <w:p w14:paraId="2CE34091" w14:textId="77777777" w:rsidR="00E43091" w:rsidRDefault="00E43091"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SFNSText-Regular">
    <w:charset w:val="88"/>
    <w:family w:val="swiss"/>
    <w:pitch w:val="variable"/>
    <w:sig w:usb0="2000028F" w:usb1="0A080003" w:usb2="00000010" w:usb3="00000000" w:csb0="001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1798190"/>
      <w:docPartObj>
        <w:docPartGallery w:val="Page Numbers (Bottom of Page)"/>
        <w:docPartUnique/>
      </w:docPartObj>
    </w:sdtPr>
    <w:sdtEndPr>
      <w:rPr>
        <w:noProof/>
      </w:rPr>
    </w:sdtEndPr>
    <w:sdtContent>
      <w:p w14:paraId="111FE3C7" w14:textId="446941D5" w:rsidR="006A0B9B" w:rsidRDefault="006A0B9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FDFF04" w14:textId="77777777" w:rsidR="006A0B9B" w:rsidRDefault="006A0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0A7BF" w14:textId="77777777" w:rsidR="00E43091" w:rsidRDefault="00E43091" w:rsidP="00D85E4D">
      <w:r>
        <w:separator/>
      </w:r>
    </w:p>
  </w:footnote>
  <w:footnote w:type="continuationSeparator" w:id="0">
    <w:p w14:paraId="678841FA" w14:textId="77777777" w:rsidR="00E43091" w:rsidRDefault="00E43091" w:rsidP="00D85E4D">
      <w:r>
        <w:continuationSeparator/>
      </w:r>
    </w:p>
  </w:footnote>
  <w:footnote w:id="1">
    <w:p w14:paraId="203047D9" w14:textId="2B4AA01E" w:rsidR="00F575D6" w:rsidRPr="00F575D6" w:rsidRDefault="00F575D6" w:rsidP="00077B69">
      <w:pPr>
        <w:pStyle w:val="FootnoteText"/>
        <w:rPr>
          <w:sz w:val="22"/>
          <w:szCs w:val="22"/>
        </w:rPr>
      </w:pPr>
      <w:r w:rsidRPr="00F575D6">
        <w:rPr>
          <w:rStyle w:val="FootnoteReference"/>
          <w:sz w:val="22"/>
          <w:szCs w:val="22"/>
        </w:rPr>
        <w:footnoteRef/>
      </w:r>
      <w:r w:rsidRPr="00F575D6">
        <w:rPr>
          <w:sz w:val="22"/>
          <w:szCs w:val="22"/>
        </w:rPr>
        <w:t xml:space="preserve"> </w:t>
      </w:r>
      <w:hyperlink r:id="rId1" w:history="1">
        <w:r w:rsidR="00FC01DD">
          <w:rPr>
            <w:rStyle w:val="Hyperlink"/>
            <w:sz w:val="22"/>
            <w:szCs w:val="22"/>
          </w:rPr>
          <w:t>Network DES Specification 2022/23</w:t>
        </w:r>
      </w:hyperlink>
    </w:p>
  </w:footnote>
  <w:footnote w:id="2">
    <w:p w14:paraId="6A82BB98" w14:textId="77777777" w:rsidR="000427B3" w:rsidRPr="001146DF" w:rsidRDefault="000427B3" w:rsidP="000427B3">
      <w:pPr>
        <w:pStyle w:val="FootnoteText"/>
        <w:rPr>
          <w:rFonts w:cs="Arial"/>
          <w:sz w:val="22"/>
          <w:szCs w:val="22"/>
        </w:rPr>
      </w:pPr>
      <w:r w:rsidRPr="001146DF">
        <w:rPr>
          <w:rStyle w:val="FootnoteReference"/>
          <w:rFonts w:cs="Arial"/>
          <w:sz w:val="22"/>
          <w:szCs w:val="22"/>
        </w:rPr>
        <w:footnoteRef/>
      </w:r>
      <w:r w:rsidRPr="001146DF">
        <w:rPr>
          <w:rFonts w:cs="Arial"/>
          <w:sz w:val="22"/>
          <w:szCs w:val="22"/>
        </w:rPr>
        <w:t xml:space="preserve"> </w:t>
      </w:r>
      <w:hyperlink r:id="rId2" w:history="1">
        <w:r w:rsidRPr="001146DF">
          <w:rPr>
            <w:rStyle w:val="Hyperlink"/>
            <w:rFonts w:cs="Arial"/>
            <w:sz w:val="22"/>
            <w:szCs w:val="22"/>
          </w:rPr>
          <w:t>BMA Guidance – Access to health records Jan 2020</w:t>
        </w:r>
      </w:hyperlink>
    </w:p>
  </w:footnote>
  <w:footnote w:id="3">
    <w:p w14:paraId="3E73CEE4" w14:textId="77777777" w:rsidR="00194DC0" w:rsidRDefault="00194DC0" w:rsidP="00194DC0">
      <w:pPr>
        <w:pStyle w:val="FootnoteText"/>
      </w:pPr>
      <w:r>
        <w:rPr>
          <w:rStyle w:val="FootnoteReference"/>
        </w:rPr>
        <w:footnoteRef/>
      </w:r>
      <w:r>
        <w:rPr>
          <w:sz w:val="22"/>
          <w:szCs w:val="22"/>
        </w:rPr>
        <w:t xml:space="preserve"> </w:t>
      </w:r>
      <w:hyperlink r:id="rId3" w:history="1">
        <w:r>
          <w:rPr>
            <w:rStyle w:val="Hyperlink"/>
            <w:sz w:val="22"/>
            <w:szCs w:val="22"/>
          </w:rPr>
          <w:t>BMA Guidance - Access to Health Records November 2019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40A09" w14:textId="77777777" w:rsidR="0092476B" w:rsidRDefault="009247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21E23"/>
    <w:multiLevelType w:val="hybridMultilevel"/>
    <w:tmpl w:val="B6B27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11914"/>
    <w:multiLevelType w:val="hybridMultilevel"/>
    <w:tmpl w:val="9BDE3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1476A9"/>
    <w:multiLevelType w:val="multilevel"/>
    <w:tmpl w:val="26F6117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225450F"/>
    <w:multiLevelType w:val="hybridMultilevel"/>
    <w:tmpl w:val="155A9E32"/>
    <w:lvl w:ilvl="0" w:tplc="36A262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F20AFD"/>
    <w:multiLevelType w:val="hybridMultilevel"/>
    <w:tmpl w:val="6DBA034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5" w15:restartNumberingAfterBreak="0">
    <w:nsid w:val="1482775B"/>
    <w:multiLevelType w:val="multilevel"/>
    <w:tmpl w:val="34D67872"/>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6105" w:hanging="576"/>
      </w:pPr>
      <w:rPr>
        <w:rFonts w:ascii="Arial" w:hAnsi="Arial" w:cs="Arial"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48901B1"/>
    <w:multiLevelType w:val="hybridMultilevel"/>
    <w:tmpl w:val="34A88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43156"/>
    <w:multiLevelType w:val="hybridMultilevel"/>
    <w:tmpl w:val="777A2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816A36"/>
    <w:multiLevelType w:val="hybridMultilevel"/>
    <w:tmpl w:val="D9261FE8"/>
    <w:lvl w:ilvl="0" w:tplc="08090001">
      <w:start w:val="1"/>
      <w:numFmt w:val="bullet"/>
      <w:lvlText w:val=""/>
      <w:lvlJc w:val="left"/>
      <w:pPr>
        <w:ind w:left="832" w:hanging="360"/>
      </w:pPr>
      <w:rPr>
        <w:rFonts w:ascii="Symbol" w:hAnsi="Symbol"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9" w15:restartNumberingAfterBreak="0">
    <w:nsid w:val="1BA07399"/>
    <w:multiLevelType w:val="hybridMultilevel"/>
    <w:tmpl w:val="F762328A"/>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0" w15:restartNumberingAfterBreak="0">
    <w:nsid w:val="1D004AD7"/>
    <w:multiLevelType w:val="hybridMultilevel"/>
    <w:tmpl w:val="B37E9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A53617"/>
    <w:multiLevelType w:val="hybridMultilevel"/>
    <w:tmpl w:val="0D887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9F190B"/>
    <w:multiLevelType w:val="hybridMultilevel"/>
    <w:tmpl w:val="E372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86761C"/>
    <w:multiLevelType w:val="hybridMultilevel"/>
    <w:tmpl w:val="F8E28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103A1"/>
    <w:multiLevelType w:val="hybridMultilevel"/>
    <w:tmpl w:val="CB6C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4A3426"/>
    <w:multiLevelType w:val="hybridMultilevel"/>
    <w:tmpl w:val="B56A1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801BF"/>
    <w:multiLevelType w:val="hybridMultilevel"/>
    <w:tmpl w:val="576E68E8"/>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7" w15:restartNumberingAfterBreak="0">
    <w:nsid w:val="3F9902EF"/>
    <w:multiLevelType w:val="hybridMultilevel"/>
    <w:tmpl w:val="620E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F7359D"/>
    <w:multiLevelType w:val="hybridMultilevel"/>
    <w:tmpl w:val="134CC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C329C6"/>
    <w:multiLevelType w:val="hybridMultilevel"/>
    <w:tmpl w:val="757E0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1C066F"/>
    <w:multiLevelType w:val="hybridMultilevel"/>
    <w:tmpl w:val="E92CC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822EA3"/>
    <w:multiLevelType w:val="hybridMultilevel"/>
    <w:tmpl w:val="B936E6C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9977612"/>
    <w:multiLevelType w:val="hybridMultilevel"/>
    <w:tmpl w:val="C3981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FA4FF2"/>
    <w:multiLevelType w:val="hybridMultilevel"/>
    <w:tmpl w:val="989C0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09B0486"/>
    <w:multiLevelType w:val="hybridMultilevel"/>
    <w:tmpl w:val="83A4A5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F36D88"/>
    <w:multiLevelType w:val="hybridMultilevel"/>
    <w:tmpl w:val="7B92E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F2F78"/>
    <w:multiLevelType w:val="hybridMultilevel"/>
    <w:tmpl w:val="7090E3E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7" w15:restartNumberingAfterBreak="0">
    <w:nsid w:val="59CC3559"/>
    <w:multiLevelType w:val="hybridMultilevel"/>
    <w:tmpl w:val="B6E2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9B31A9"/>
    <w:multiLevelType w:val="hybridMultilevel"/>
    <w:tmpl w:val="B8542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E72309"/>
    <w:multiLevelType w:val="hybridMultilevel"/>
    <w:tmpl w:val="A70C0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FF2985"/>
    <w:multiLevelType w:val="hybridMultilevel"/>
    <w:tmpl w:val="03427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7A65F4"/>
    <w:multiLevelType w:val="multilevel"/>
    <w:tmpl w:val="1360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B228FA"/>
    <w:multiLevelType w:val="hybridMultilevel"/>
    <w:tmpl w:val="752E02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175709E"/>
    <w:multiLevelType w:val="hybridMultilevel"/>
    <w:tmpl w:val="53741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C724EB"/>
    <w:multiLevelType w:val="hybridMultilevel"/>
    <w:tmpl w:val="03C86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B60590"/>
    <w:multiLevelType w:val="hybridMultilevel"/>
    <w:tmpl w:val="39608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75A23"/>
    <w:multiLevelType w:val="multilevel"/>
    <w:tmpl w:val="65F86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93F2677"/>
    <w:multiLevelType w:val="hybridMultilevel"/>
    <w:tmpl w:val="8E42F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82F07"/>
    <w:multiLevelType w:val="hybridMultilevel"/>
    <w:tmpl w:val="DD3CF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0"/>
  </w:num>
  <w:num w:numId="4">
    <w:abstractNumId w:val="18"/>
  </w:num>
  <w:num w:numId="5">
    <w:abstractNumId w:val="9"/>
  </w:num>
  <w:num w:numId="6">
    <w:abstractNumId w:val="33"/>
  </w:num>
  <w:num w:numId="7">
    <w:abstractNumId w:val="6"/>
  </w:num>
  <w:num w:numId="8">
    <w:abstractNumId w:val="26"/>
  </w:num>
  <w:num w:numId="9">
    <w:abstractNumId w:val="16"/>
  </w:num>
  <w:num w:numId="10">
    <w:abstractNumId w:val="14"/>
  </w:num>
  <w:num w:numId="11">
    <w:abstractNumId w:val="34"/>
  </w:num>
  <w:num w:numId="12">
    <w:abstractNumId w:val="30"/>
  </w:num>
  <w:num w:numId="13">
    <w:abstractNumId w:val="29"/>
  </w:num>
  <w:num w:numId="14">
    <w:abstractNumId w:val="23"/>
  </w:num>
  <w:num w:numId="15">
    <w:abstractNumId w:val="36"/>
  </w:num>
  <w:num w:numId="16">
    <w:abstractNumId w:val="20"/>
  </w:num>
  <w:num w:numId="17">
    <w:abstractNumId w:val="10"/>
  </w:num>
  <w:num w:numId="18">
    <w:abstractNumId w:val="7"/>
  </w:num>
  <w:num w:numId="19">
    <w:abstractNumId w:val="37"/>
  </w:num>
  <w:num w:numId="20">
    <w:abstractNumId w:val="22"/>
  </w:num>
  <w:num w:numId="21">
    <w:abstractNumId w:val="38"/>
  </w:num>
  <w:num w:numId="22">
    <w:abstractNumId w:val="17"/>
  </w:num>
  <w:num w:numId="23">
    <w:abstractNumId w:val="15"/>
  </w:num>
  <w:num w:numId="24">
    <w:abstractNumId w:val="13"/>
  </w:num>
  <w:num w:numId="25">
    <w:abstractNumId w:val="12"/>
  </w:num>
  <w:num w:numId="26">
    <w:abstractNumId w:val="5"/>
  </w:num>
  <w:num w:numId="27">
    <w:abstractNumId w:val="5"/>
  </w:num>
  <w:num w:numId="28">
    <w:abstractNumId w:val="5"/>
  </w:num>
  <w:num w:numId="29">
    <w:abstractNumId w:val="31"/>
  </w:num>
  <w:num w:numId="30">
    <w:abstractNumId w:val="25"/>
  </w:num>
  <w:num w:numId="31">
    <w:abstractNumId w:val="24"/>
  </w:num>
  <w:num w:numId="32">
    <w:abstractNumId w:val="35"/>
  </w:num>
  <w:num w:numId="33">
    <w:abstractNumId w:val="32"/>
  </w:num>
  <w:num w:numId="34">
    <w:abstractNumId w:val="19"/>
  </w:num>
  <w:num w:numId="35">
    <w:abstractNumId w:val="1"/>
  </w:num>
  <w:num w:numId="36">
    <w:abstractNumId w:val="4"/>
  </w:num>
  <w:num w:numId="37">
    <w:abstractNumId w:val="3"/>
  </w:num>
  <w:num w:numId="38">
    <w:abstractNumId w:val="28"/>
  </w:num>
  <w:num w:numId="39">
    <w:abstractNumId w:val="8"/>
  </w:num>
  <w:num w:numId="40">
    <w:abstractNumId w:val="2"/>
  </w:num>
  <w:num w:numId="41">
    <w:abstractNumId w:val="27"/>
  </w:num>
  <w:num w:numId="42">
    <w:abstractNumId w:val="11"/>
  </w:num>
  <w:num w:numId="43">
    <w:abstractNumId w:val="5"/>
  </w:num>
  <w:num w:numId="44">
    <w:abstractNumId w:val="5"/>
  </w:num>
  <w:num w:numId="45">
    <w:abstractNumId w:val="5"/>
  </w:num>
  <w:num w:numId="46">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38FC"/>
    <w:rsid w:val="00004AC3"/>
    <w:rsid w:val="0001030F"/>
    <w:rsid w:val="000155E6"/>
    <w:rsid w:val="00015804"/>
    <w:rsid w:val="0002221A"/>
    <w:rsid w:val="00031628"/>
    <w:rsid w:val="00034C0F"/>
    <w:rsid w:val="000353E8"/>
    <w:rsid w:val="000375A3"/>
    <w:rsid w:val="00042369"/>
    <w:rsid w:val="000427B3"/>
    <w:rsid w:val="00042B93"/>
    <w:rsid w:val="00043EE9"/>
    <w:rsid w:val="00044905"/>
    <w:rsid w:val="00051899"/>
    <w:rsid w:val="00053733"/>
    <w:rsid w:val="000606A2"/>
    <w:rsid w:val="00067160"/>
    <w:rsid w:val="00067DD3"/>
    <w:rsid w:val="000705C3"/>
    <w:rsid w:val="00075116"/>
    <w:rsid w:val="00076067"/>
    <w:rsid w:val="00077B69"/>
    <w:rsid w:val="0008472C"/>
    <w:rsid w:val="000858D5"/>
    <w:rsid w:val="00091880"/>
    <w:rsid w:val="00094747"/>
    <w:rsid w:val="000A2B65"/>
    <w:rsid w:val="000A4058"/>
    <w:rsid w:val="000A5A72"/>
    <w:rsid w:val="000B3712"/>
    <w:rsid w:val="000C69F7"/>
    <w:rsid w:val="000D0020"/>
    <w:rsid w:val="000D028F"/>
    <w:rsid w:val="000D2BB3"/>
    <w:rsid w:val="000D72BA"/>
    <w:rsid w:val="000E586F"/>
    <w:rsid w:val="000F35E7"/>
    <w:rsid w:val="000F4553"/>
    <w:rsid w:val="000F4FBA"/>
    <w:rsid w:val="000F50CE"/>
    <w:rsid w:val="000F5FF7"/>
    <w:rsid w:val="000F7443"/>
    <w:rsid w:val="00103393"/>
    <w:rsid w:val="001037C5"/>
    <w:rsid w:val="00105D87"/>
    <w:rsid w:val="00107BC3"/>
    <w:rsid w:val="00111E00"/>
    <w:rsid w:val="001128AD"/>
    <w:rsid w:val="001146DF"/>
    <w:rsid w:val="00120450"/>
    <w:rsid w:val="00123E8D"/>
    <w:rsid w:val="00125496"/>
    <w:rsid w:val="00130102"/>
    <w:rsid w:val="00135BDF"/>
    <w:rsid w:val="00140DFD"/>
    <w:rsid w:val="001429C3"/>
    <w:rsid w:val="0014387D"/>
    <w:rsid w:val="00144A86"/>
    <w:rsid w:val="001462F2"/>
    <w:rsid w:val="00152116"/>
    <w:rsid w:val="00152800"/>
    <w:rsid w:val="00154D70"/>
    <w:rsid w:val="00160F3C"/>
    <w:rsid w:val="00165B9D"/>
    <w:rsid w:val="00166F39"/>
    <w:rsid w:val="00167C93"/>
    <w:rsid w:val="00172ACD"/>
    <w:rsid w:val="00182759"/>
    <w:rsid w:val="001872B9"/>
    <w:rsid w:val="0019060B"/>
    <w:rsid w:val="00190C4A"/>
    <w:rsid w:val="0019118A"/>
    <w:rsid w:val="00193FD6"/>
    <w:rsid w:val="00194DC0"/>
    <w:rsid w:val="00195FBE"/>
    <w:rsid w:val="00197E1C"/>
    <w:rsid w:val="001A01D7"/>
    <w:rsid w:val="001A145E"/>
    <w:rsid w:val="001A7A41"/>
    <w:rsid w:val="001B15E6"/>
    <w:rsid w:val="001B68C3"/>
    <w:rsid w:val="001C2EC0"/>
    <w:rsid w:val="001C6E28"/>
    <w:rsid w:val="001D10A0"/>
    <w:rsid w:val="001D2DE2"/>
    <w:rsid w:val="001E29E7"/>
    <w:rsid w:val="001F0DF9"/>
    <w:rsid w:val="001F2EBF"/>
    <w:rsid w:val="001F48C2"/>
    <w:rsid w:val="0020058A"/>
    <w:rsid w:val="00204801"/>
    <w:rsid w:val="00206BA6"/>
    <w:rsid w:val="00217624"/>
    <w:rsid w:val="00221CCE"/>
    <w:rsid w:val="00222365"/>
    <w:rsid w:val="00223D46"/>
    <w:rsid w:val="00224955"/>
    <w:rsid w:val="00231DAE"/>
    <w:rsid w:val="00232534"/>
    <w:rsid w:val="002360B0"/>
    <w:rsid w:val="00241E23"/>
    <w:rsid w:val="002423C2"/>
    <w:rsid w:val="0024382A"/>
    <w:rsid w:val="00245C51"/>
    <w:rsid w:val="0024704E"/>
    <w:rsid w:val="00253AA8"/>
    <w:rsid w:val="002543AE"/>
    <w:rsid w:val="00256CC4"/>
    <w:rsid w:val="002638C3"/>
    <w:rsid w:val="00265931"/>
    <w:rsid w:val="002B437A"/>
    <w:rsid w:val="002B659E"/>
    <w:rsid w:val="002B65D0"/>
    <w:rsid w:val="002C0D56"/>
    <w:rsid w:val="002C0F0A"/>
    <w:rsid w:val="002C6527"/>
    <w:rsid w:val="002C7287"/>
    <w:rsid w:val="002C7508"/>
    <w:rsid w:val="002C78FF"/>
    <w:rsid w:val="002D18C1"/>
    <w:rsid w:val="002D48FF"/>
    <w:rsid w:val="002D53CC"/>
    <w:rsid w:val="002D53FA"/>
    <w:rsid w:val="002E2B2A"/>
    <w:rsid w:val="002E54D4"/>
    <w:rsid w:val="002F1096"/>
    <w:rsid w:val="002F4808"/>
    <w:rsid w:val="003000BD"/>
    <w:rsid w:val="00300373"/>
    <w:rsid w:val="00302507"/>
    <w:rsid w:val="00302B80"/>
    <w:rsid w:val="0031325B"/>
    <w:rsid w:val="00321B81"/>
    <w:rsid w:val="003223D3"/>
    <w:rsid w:val="00332780"/>
    <w:rsid w:val="0033473B"/>
    <w:rsid w:val="003412F1"/>
    <w:rsid w:val="00341DE8"/>
    <w:rsid w:val="00343E43"/>
    <w:rsid w:val="00343F2F"/>
    <w:rsid w:val="0034794D"/>
    <w:rsid w:val="0035050E"/>
    <w:rsid w:val="0035306F"/>
    <w:rsid w:val="0035600D"/>
    <w:rsid w:val="003562F3"/>
    <w:rsid w:val="00357D85"/>
    <w:rsid w:val="00361EBF"/>
    <w:rsid w:val="00366213"/>
    <w:rsid w:val="00366CEC"/>
    <w:rsid w:val="00367A39"/>
    <w:rsid w:val="00371745"/>
    <w:rsid w:val="00377FB9"/>
    <w:rsid w:val="003833EE"/>
    <w:rsid w:val="003870E1"/>
    <w:rsid w:val="00387BF7"/>
    <w:rsid w:val="00387D5B"/>
    <w:rsid w:val="00390205"/>
    <w:rsid w:val="00392BD7"/>
    <w:rsid w:val="00392FE6"/>
    <w:rsid w:val="00395603"/>
    <w:rsid w:val="00397377"/>
    <w:rsid w:val="003A08C7"/>
    <w:rsid w:val="003A44B9"/>
    <w:rsid w:val="003B2389"/>
    <w:rsid w:val="003C1644"/>
    <w:rsid w:val="003C4936"/>
    <w:rsid w:val="003C69BA"/>
    <w:rsid w:val="003D1C67"/>
    <w:rsid w:val="003D4988"/>
    <w:rsid w:val="003D4FAE"/>
    <w:rsid w:val="003D648E"/>
    <w:rsid w:val="003D679B"/>
    <w:rsid w:val="003D7BC6"/>
    <w:rsid w:val="003E0122"/>
    <w:rsid w:val="003E3117"/>
    <w:rsid w:val="003E4526"/>
    <w:rsid w:val="003E5B9C"/>
    <w:rsid w:val="003E668B"/>
    <w:rsid w:val="003E72F8"/>
    <w:rsid w:val="003F2175"/>
    <w:rsid w:val="003F36B9"/>
    <w:rsid w:val="003F4D58"/>
    <w:rsid w:val="003F6E45"/>
    <w:rsid w:val="003F6FBB"/>
    <w:rsid w:val="00404959"/>
    <w:rsid w:val="00411341"/>
    <w:rsid w:val="00411AF8"/>
    <w:rsid w:val="00413677"/>
    <w:rsid w:val="004163D3"/>
    <w:rsid w:val="004166D9"/>
    <w:rsid w:val="00423FBA"/>
    <w:rsid w:val="00424331"/>
    <w:rsid w:val="00424878"/>
    <w:rsid w:val="00425686"/>
    <w:rsid w:val="004303FD"/>
    <w:rsid w:val="0043549F"/>
    <w:rsid w:val="00435955"/>
    <w:rsid w:val="00436EEE"/>
    <w:rsid w:val="0044220B"/>
    <w:rsid w:val="00442786"/>
    <w:rsid w:val="00442BCE"/>
    <w:rsid w:val="00451072"/>
    <w:rsid w:val="00452353"/>
    <w:rsid w:val="00453016"/>
    <w:rsid w:val="00455E3B"/>
    <w:rsid w:val="00457DFB"/>
    <w:rsid w:val="00460BA9"/>
    <w:rsid w:val="00462DDE"/>
    <w:rsid w:val="00464F50"/>
    <w:rsid w:val="004674C5"/>
    <w:rsid w:val="004763A7"/>
    <w:rsid w:val="004A2D8A"/>
    <w:rsid w:val="004A3CE1"/>
    <w:rsid w:val="004B548E"/>
    <w:rsid w:val="004C0649"/>
    <w:rsid w:val="004C4989"/>
    <w:rsid w:val="004C5D83"/>
    <w:rsid w:val="004C604E"/>
    <w:rsid w:val="004D4FB9"/>
    <w:rsid w:val="004D5971"/>
    <w:rsid w:val="004D67CA"/>
    <w:rsid w:val="004E0333"/>
    <w:rsid w:val="004E458A"/>
    <w:rsid w:val="004E4E10"/>
    <w:rsid w:val="004E647A"/>
    <w:rsid w:val="004E7453"/>
    <w:rsid w:val="004F11CB"/>
    <w:rsid w:val="004F122F"/>
    <w:rsid w:val="004F587B"/>
    <w:rsid w:val="005067B1"/>
    <w:rsid w:val="005068EC"/>
    <w:rsid w:val="00506F29"/>
    <w:rsid w:val="00513DE0"/>
    <w:rsid w:val="00515291"/>
    <w:rsid w:val="005215B9"/>
    <w:rsid w:val="00523A57"/>
    <w:rsid w:val="005263B3"/>
    <w:rsid w:val="00527B68"/>
    <w:rsid w:val="005321E7"/>
    <w:rsid w:val="005407DE"/>
    <w:rsid w:val="00542A01"/>
    <w:rsid w:val="005536AA"/>
    <w:rsid w:val="00560789"/>
    <w:rsid w:val="005629E0"/>
    <w:rsid w:val="00563D1E"/>
    <w:rsid w:val="00574ADC"/>
    <w:rsid w:val="00575886"/>
    <w:rsid w:val="00577116"/>
    <w:rsid w:val="005841A2"/>
    <w:rsid w:val="0058748A"/>
    <w:rsid w:val="005923E7"/>
    <w:rsid w:val="005A2B1C"/>
    <w:rsid w:val="005B058D"/>
    <w:rsid w:val="005B57E4"/>
    <w:rsid w:val="005C0233"/>
    <w:rsid w:val="005E171C"/>
    <w:rsid w:val="005E3A4C"/>
    <w:rsid w:val="005E4FBB"/>
    <w:rsid w:val="005F1775"/>
    <w:rsid w:val="00600920"/>
    <w:rsid w:val="00603C03"/>
    <w:rsid w:val="006065C2"/>
    <w:rsid w:val="00617DD7"/>
    <w:rsid w:val="0062334A"/>
    <w:rsid w:val="00631A5F"/>
    <w:rsid w:val="00631F81"/>
    <w:rsid w:val="00634F2D"/>
    <w:rsid w:val="00643B50"/>
    <w:rsid w:val="0064450D"/>
    <w:rsid w:val="00650FF6"/>
    <w:rsid w:val="00654A35"/>
    <w:rsid w:val="00657050"/>
    <w:rsid w:val="00663BAA"/>
    <w:rsid w:val="00674738"/>
    <w:rsid w:val="00674887"/>
    <w:rsid w:val="00675084"/>
    <w:rsid w:val="00677D3D"/>
    <w:rsid w:val="00680162"/>
    <w:rsid w:val="00681FA6"/>
    <w:rsid w:val="00681FDF"/>
    <w:rsid w:val="00682B45"/>
    <w:rsid w:val="00684F05"/>
    <w:rsid w:val="00685CB4"/>
    <w:rsid w:val="00692ED5"/>
    <w:rsid w:val="006A0B9B"/>
    <w:rsid w:val="006A762A"/>
    <w:rsid w:val="006C213B"/>
    <w:rsid w:val="006C289F"/>
    <w:rsid w:val="006C2D92"/>
    <w:rsid w:val="006C328E"/>
    <w:rsid w:val="006C3CFB"/>
    <w:rsid w:val="006C5288"/>
    <w:rsid w:val="006C52A7"/>
    <w:rsid w:val="006E1BEC"/>
    <w:rsid w:val="006E447D"/>
    <w:rsid w:val="006F64D1"/>
    <w:rsid w:val="006F6E6B"/>
    <w:rsid w:val="00713EF4"/>
    <w:rsid w:val="0071583A"/>
    <w:rsid w:val="00730CC3"/>
    <w:rsid w:val="007326E3"/>
    <w:rsid w:val="00736630"/>
    <w:rsid w:val="00737EBA"/>
    <w:rsid w:val="00741138"/>
    <w:rsid w:val="007412E4"/>
    <w:rsid w:val="00746670"/>
    <w:rsid w:val="00753CF3"/>
    <w:rsid w:val="007559A8"/>
    <w:rsid w:val="00760025"/>
    <w:rsid w:val="00761798"/>
    <w:rsid w:val="00761A21"/>
    <w:rsid w:val="007650FE"/>
    <w:rsid w:val="00771E2E"/>
    <w:rsid w:val="007763DE"/>
    <w:rsid w:val="00781E32"/>
    <w:rsid w:val="00783572"/>
    <w:rsid w:val="007869B6"/>
    <w:rsid w:val="00790868"/>
    <w:rsid w:val="00791DD4"/>
    <w:rsid w:val="00796159"/>
    <w:rsid w:val="00797147"/>
    <w:rsid w:val="007A0CC9"/>
    <w:rsid w:val="007A445A"/>
    <w:rsid w:val="007B513C"/>
    <w:rsid w:val="007B711A"/>
    <w:rsid w:val="007C2FBE"/>
    <w:rsid w:val="007C4EA7"/>
    <w:rsid w:val="007C657E"/>
    <w:rsid w:val="007C72E4"/>
    <w:rsid w:val="007C746D"/>
    <w:rsid w:val="007D36E5"/>
    <w:rsid w:val="007E02CD"/>
    <w:rsid w:val="007E4E9F"/>
    <w:rsid w:val="007F0769"/>
    <w:rsid w:val="007F1958"/>
    <w:rsid w:val="007F3AE0"/>
    <w:rsid w:val="0080548D"/>
    <w:rsid w:val="0080618C"/>
    <w:rsid w:val="00807595"/>
    <w:rsid w:val="00820D27"/>
    <w:rsid w:val="00822048"/>
    <w:rsid w:val="008316C6"/>
    <w:rsid w:val="00837E95"/>
    <w:rsid w:val="00847F9A"/>
    <w:rsid w:val="0085315B"/>
    <w:rsid w:val="008603AE"/>
    <w:rsid w:val="00862EB6"/>
    <w:rsid w:val="00864CB5"/>
    <w:rsid w:val="00873345"/>
    <w:rsid w:val="00876911"/>
    <w:rsid w:val="00876F26"/>
    <w:rsid w:val="00876F46"/>
    <w:rsid w:val="008804AC"/>
    <w:rsid w:val="00890ED5"/>
    <w:rsid w:val="0089467C"/>
    <w:rsid w:val="0089666E"/>
    <w:rsid w:val="00896912"/>
    <w:rsid w:val="008A36FF"/>
    <w:rsid w:val="008A5CCE"/>
    <w:rsid w:val="008C5B17"/>
    <w:rsid w:val="008C6AD8"/>
    <w:rsid w:val="008D0A18"/>
    <w:rsid w:val="008D1D73"/>
    <w:rsid w:val="008D3980"/>
    <w:rsid w:val="008D5E2A"/>
    <w:rsid w:val="008D73AD"/>
    <w:rsid w:val="008E0624"/>
    <w:rsid w:val="008E5F09"/>
    <w:rsid w:val="008F185C"/>
    <w:rsid w:val="008F4B4C"/>
    <w:rsid w:val="00901F47"/>
    <w:rsid w:val="00904E91"/>
    <w:rsid w:val="009132F2"/>
    <w:rsid w:val="009235C1"/>
    <w:rsid w:val="009242CF"/>
    <w:rsid w:val="0092476B"/>
    <w:rsid w:val="009275ED"/>
    <w:rsid w:val="00931791"/>
    <w:rsid w:val="009320AB"/>
    <w:rsid w:val="00940EB7"/>
    <w:rsid w:val="00943551"/>
    <w:rsid w:val="0094362B"/>
    <w:rsid w:val="00943D27"/>
    <w:rsid w:val="009527FE"/>
    <w:rsid w:val="0095408D"/>
    <w:rsid w:val="009566C7"/>
    <w:rsid w:val="009577ED"/>
    <w:rsid w:val="00960DE5"/>
    <w:rsid w:val="00962F38"/>
    <w:rsid w:val="00964341"/>
    <w:rsid w:val="00965FEA"/>
    <w:rsid w:val="00966AC0"/>
    <w:rsid w:val="00967C39"/>
    <w:rsid w:val="00976282"/>
    <w:rsid w:val="00976530"/>
    <w:rsid w:val="00982EB3"/>
    <w:rsid w:val="009865FC"/>
    <w:rsid w:val="00986B04"/>
    <w:rsid w:val="009934CD"/>
    <w:rsid w:val="009934CF"/>
    <w:rsid w:val="00997576"/>
    <w:rsid w:val="009A603A"/>
    <w:rsid w:val="009B364A"/>
    <w:rsid w:val="009B4415"/>
    <w:rsid w:val="009C12C1"/>
    <w:rsid w:val="009D3BBE"/>
    <w:rsid w:val="009D5CCB"/>
    <w:rsid w:val="009E44EC"/>
    <w:rsid w:val="009E4CC3"/>
    <w:rsid w:val="009F3854"/>
    <w:rsid w:val="009F5124"/>
    <w:rsid w:val="009F75EF"/>
    <w:rsid w:val="00A12A6E"/>
    <w:rsid w:val="00A17072"/>
    <w:rsid w:val="00A231C8"/>
    <w:rsid w:val="00A25716"/>
    <w:rsid w:val="00A26A10"/>
    <w:rsid w:val="00A40AC9"/>
    <w:rsid w:val="00A41B77"/>
    <w:rsid w:val="00A422BE"/>
    <w:rsid w:val="00A47272"/>
    <w:rsid w:val="00A521D5"/>
    <w:rsid w:val="00A52401"/>
    <w:rsid w:val="00A54790"/>
    <w:rsid w:val="00A62D77"/>
    <w:rsid w:val="00A636D9"/>
    <w:rsid w:val="00A673D2"/>
    <w:rsid w:val="00A702AA"/>
    <w:rsid w:val="00A721EE"/>
    <w:rsid w:val="00A72725"/>
    <w:rsid w:val="00A74D11"/>
    <w:rsid w:val="00A76965"/>
    <w:rsid w:val="00A910EC"/>
    <w:rsid w:val="00A97622"/>
    <w:rsid w:val="00AA0EE2"/>
    <w:rsid w:val="00AA7A28"/>
    <w:rsid w:val="00AB3844"/>
    <w:rsid w:val="00AB7728"/>
    <w:rsid w:val="00AC2677"/>
    <w:rsid w:val="00AD232F"/>
    <w:rsid w:val="00AD45AA"/>
    <w:rsid w:val="00AD5AA9"/>
    <w:rsid w:val="00AE091B"/>
    <w:rsid w:val="00AE22ED"/>
    <w:rsid w:val="00AE5E27"/>
    <w:rsid w:val="00AF4808"/>
    <w:rsid w:val="00B045D7"/>
    <w:rsid w:val="00B12D0B"/>
    <w:rsid w:val="00B156DA"/>
    <w:rsid w:val="00B16F5B"/>
    <w:rsid w:val="00B1777D"/>
    <w:rsid w:val="00B22E1E"/>
    <w:rsid w:val="00B2339A"/>
    <w:rsid w:val="00B25B50"/>
    <w:rsid w:val="00B27AE7"/>
    <w:rsid w:val="00B337C9"/>
    <w:rsid w:val="00B34C10"/>
    <w:rsid w:val="00B353C6"/>
    <w:rsid w:val="00B35D79"/>
    <w:rsid w:val="00B5056E"/>
    <w:rsid w:val="00B506CA"/>
    <w:rsid w:val="00B533B3"/>
    <w:rsid w:val="00B535CF"/>
    <w:rsid w:val="00B53D92"/>
    <w:rsid w:val="00B566D0"/>
    <w:rsid w:val="00B66ACC"/>
    <w:rsid w:val="00B7142C"/>
    <w:rsid w:val="00B74D98"/>
    <w:rsid w:val="00B75EA9"/>
    <w:rsid w:val="00B76523"/>
    <w:rsid w:val="00B947EC"/>
    <w:rsid w:val="00BA02C9"/>
    <w:rsid w:val="00BA2487"/>
    <w:rsid w:val="00BA25E8"/>
    <w:rsid w:val="00BB31FA"/>
    <w:rsid w:val="00BB564E"/>
    <w:rsid w:val="00BC02E2"/>
    <w:rsid w:val="00BC5432"/>
    <w:rsid w:val="00BD7A42"/>
    <w:rsid w:val="00BE003C"/>
    <w:rsid w:val="00BE2434"/>
    <w:rsid w:val="00BE3256"/>
    <w:rsid w:val="00BE4B68"/>
    <w:rsid w:val="00BE5218"/>
    <w:rsid w:val="00BE694D"/>
    <w:rsid w:val="00BF2B7C"/>
    <w:rsid w:val="00BF33F6"/>
    <w:rsid w:val="00BF343F"/>
    <w:rsid w:val="00BF5684"/>
    <w:rsid w:val="00BF70BB"/>
    <w:rsid w:val="00C0016B"/>
    <w:rsid w:val="00C033F2"/>
    <w:rsid w:val="00C037B7"/>
    <w:rsid w:val="00C03FFA"/>
    <w:rsid w:val="00C069CC"/>
    <w:rsid w:val="00C07F3D"/>
    <w:rsid w:val="00C144AF"/>
    <w:rsid w:val="00C14BBC"/>
    <w:rsid w:val="00C1542B"/>
    <w:rsid w:val="00C15E22"/>
    <w:rsid w:val="00C3402A"/>
    <w:rsid w:val="00C35CA3"/>
    <w:rsid w:val="00C40D63"/>
    <w:rsid w:val="00C414B0"/>
    <w:rsid w:val="00C427C6"/>
    <w:rsid w:val="00C56C06"/>
    <w:rsid w:val="00C63C6A"/>
    <w:rsid w:val="00C67444"/>
    <w:rsid w:val="00C72076"/>
    <w:rsid w:val="00C72915"/>
    <w:rsid w:val="00C72CB5"/>
    <w:rsid w:val="00C732B1"/>
    <w:rsid w:val="00C77205"/>
    <w:rsid w:val="00C802F0"/>
    <w:rsid w:val="00C83D4C"/>
    <w:rsid w:val="00C86C72"/>
    <w:rsid w:val="00C91E5D"/>
    <w:rsid w:val="00C931DB"/>
    <w:rsid w:val="00C957F6"/>
    <w:rsid w:val="00C97BA7"/>
    <w:rsid w:val="00CA1A9E"/>
    <w:rsid w:val="00CA1ADC"/>
    <w:rsid w:val="00CB39DE"/>
    <w:rsid w:val="00CC18F3"/>
    <w:rsid w:val="00CD2BD0"/>
    <w:rsid w:val="00CD4001"/>
    <w:rsid w:val="00CD7147"/>
    <w:rsid w:val="00CD7AEF"/>
    <w:rsid w:val="00CE2240"/>
    <w:rsid w:val="00CE4FF9"/>
    <w:rsid w:val="00CE51D3"/>
    <w:rsid w:val="00CF16DC"/>
    <w:rsid w:val="00CF23C3"/>
    <w:rsid w:val="00D01D60"/>
    <w:rsid w:val="00D02324"/>
    <w:rsid w:val="00D05574"/>
    <w:rsid w:val="00D11D1B"/>
    <w:rsid w:val="00D133EE"/>
    <w:rsid w:val="00D1420B"/>
    <w:rsid w:val="00D20B86"/>
    <w:rsid w:val="00D269F4"/>
    <w:rsid w:val="00D30D95"/>
    <w:rsid w:val="00D32C03"/>
    <w:rsid w:val="00D33B30"/>
    <w:rsid w:val="00D432C1"/>
    <w:rsid w:val="00D43D34"/>
    <w:rsid w:val="00D44CB6"/>
    <w:rsid w:val="00D513A5"/>
    <w:rsid w:val="00D55D20"/>
    <w:rsid w:val="00D6351F"/>
    <w:rsid w:val="00D76571"/>
    <w:rsid w:val="00D7710A"/>
    <w:rsid w:val="00D85E4D"/>
    <w:rsid w:val="00D8677B"/>
    <w:rsid w:val="00D87A77"/>
    <w:rsid w:val="00D93001"/>
    <w:rsid w:val="00DA103A"/>
    <w:rsid w:val="00DB0B52"/>
    <w:rsid w:val="00DB182A"/>
    <w:rsid w:val="00DB1EFC"/>
    <w:rsid w:val="00DB5E00"/>
    <w:rsid w:val="00DC26B1"/>
    <w:rsid w:val="00DC2986"/>
    <w:rsid w:val="00DC4668"/>
    <w:rsid w:val="00DD129F"/>
    <w:rsid w:val="00DD209F"/>
    <w:rsid w:val="00DD61BF"/>
    <w:rsid w:val="00DE3FB6"/>
    <w:rsid w:val="00DE6726"/>
    <w:rsid w:val="00DF2AF5"/>
    <w:rsid w:val="00DF505E"/>
    <w:rsid w:val="00E0556A"/>
    <w:rsid w:val="00E055B9"/>
    <w:rsid w:val="00E06B7E"/>
    <w:rsid w:val="00E102BA"/>
    <w:rsid w:val="00E22435"/>
    <w:rsid w:val="00E23FDB"/>
    <w:rsid w:val="00E2519D"/>
    <w:rsid w:val="00E2563B"/>
    <w:rsid w:val="00E30399"/>
    <w:rsid w:val="00E31CF4"/>
    <w:rsid w:val="00E3235D"/>
    <w:rsid w:val="00E33BD6"/>
    <w:rsid w:val="00E34625"/>
    <w:rsid w:val="00E35A44"/>
    <w:rsid w:val="00E41DD9"/>
    <w:rsid w:val="00E43091"/>
    <w:rsid w:val="00E45A5F"/>
    <w:rsid w:val="00E52340"/>
    <w:rsid w:val="00E53611"/>
    <w:rsid w:val="00E5412E"/>
    <w:rsid w:val="00E54816"/>
    <w:rsid w:val="00E57B8F"/>
    <w:rsid w:val="00E60F1C"/>
    <w:rsid w:val="00E656A3"/>
    <w:rsid w:val="00E65989"/>
    <w:rsid w:val="00E71AA4"/>
    <w:rsid w:val="00E72FAC"/>
    <w:rsid w:val="00E76417"/>
    <w:rsid w:val="00E80077"/>
    <w:rsid w:val="00E83075"/>
    <w:rsid w:val="00E85096"/>
    <w:rsid w:val="00E9196C"/>
    <w:rsid w:val="00EA23DA"/>
    <w:rsid w:val="00EB1CEF"/>
    <w:rsid w:val="00EB54C4"/>
    <w:rsid w:val="00EB64C5"/>
    <w:rsid w:val="00EB767F"/>
    <w:rsid w:val="00EC4224"/>
    <w:rsid w:val="00ED0EA9"/>
    <w:rsid w:val="00ED6B79"/>
    <w:rsid w:val="00ED6D03"/>
    <w:rsid w:val="00EE0FE3"/>
    <w:rsid w:val="00EE7A75"/>
    <w:rsid w:val="00EF5331"/>
    <w:rsid w:val="00EF5874"/>
    <w:rsid w:val="00F021B5"/>
    <w:rsid w:val="00F12236"/>
    <w:rsid w:val="00F209F4"/>
    <w:rsid w:val="00F20CCA"/>
    <w:rsid w:val="00F405F7"/>
    <w:rsid w:val="00F41F59"/>
    <w:rsid w:val="00F42E08"/>
    <w:rsid w:val="00F454D3"/>
    <w:rsid w:val="00F46D5E"/>
    <w:rsid w:val="00F47D1D"/>
    <w:rsid w:val="00F54189"/>
    <w:rsid w:val="00F575D6"/>
    <w:rsid w:val="00F6534B"/>
    <w:rsid w:val="00F77CE0"/>
    <w:rsid w:val="00F814C7"/>
    <w:rsid w:val="00F822BB"/>
    <w:rsid w:val="00FA0D52"/>
    <w:rsid w:val="00FA37A7"/>
    <w:rsid w:val="00FB2959"/>
    <w:rsid w:val="00FB407F"/>
    <w:rsid w:val="00FC01DD"/>
    <w:rsid w:val="00FD32BD"/>
    <w:rsid w:val="00FE082F"/>
    <w:rsid w:val="00FE37C6"/>
    <w:rsid w:val="00FE4C60"/>
    <w:rsid w:val="00FE6F53"/>
    <w:rsid w:val="00FE7AE4"/>
    <w:rsid w:val="00FF3141"/>
    <w:rsid w:val="00FF726D"/>
    <w:rsid w:val="00FF7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D149B74"/>
  <w15:docId w15:val="{222E2EE3-1225-F64E-92B4-2858931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6ACC"/>
    <w:rPr>
      <w:sz w:val="24"/>
      <w:szCs w:val="24"/>
      <w:lang w:val="en-GB" w:eastAsia="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lang w:eastAsia="en-US"/>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eastAsia="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eastAsia="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eastAsia="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eastAsia="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eastAsia="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eastAsia="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eastAsia="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lang w:eastAsia="en-US"/>
    </w:rPr>
  </w:style>
  <w:style w:type="paragraph" w:styleId="ListParagraph">
    <w:name w:val="List Paragraph"/>
    <w:basedOn w:val="Normal"/>
    <w:link w:val="ListParagraphChar"/>
    <w:uiPriority w:val="34"/>
    <w:qFormat/>
    <w:rsid w:val="000858D5"/>
    <w:pPr>
      <w:ind w:left="720"/>
      <w:contextualSpacing/>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eastAsia="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kern w:val="32"/>
      <w:sz w:val="32"/>
      <w:szCs w:val="32"/>
      <w:lang w:val="en-GB"/>
    </w:rPr>
  </w:style>
  <w:style w:type="paragraph" w:styleId="TOC1">
    <w:name w:val="toc 1"/>
    <w:basedOn w:val="Normal"/>
    <w:next w:val="Normal"/>
    <w:autoRedefine/>
    <w:uiPriority w:val="39"/>
    <w:rsid w:val="00761798"/>
    <w:pPr>
      <w:tabs>
        <w:tab w:val="left" w:pos="440"/>
        <w:tab w:val="right" w:pos="8290"/>
      </w:tabs>
      <w:spacing w:before="360"/>
    </w:pPr>
    <w:rPr>
      <w:rFonts w:ascii="Arial" w:eastAsiaTheme="minorHAnsi" w:hAnsi="Arial" w:cs="Arial"/>
      <w:b/>
      <w:bCs/>
      <w:noProof/>
      <w:lang w:eastAsia="en-US"/>
    </w:rPr>
  </w:style>
  <w:style w:type="paragraph" w:styleId="TOC2">
    <w:name w:val="toc 2"/>
    <w:basedOn w:val="Normal"/>
    <w:next w:val="Normal"/>
    <w:autoRedefine/>
    <w:uiPriority w:val="39"/>
    <w:rsid w:val="00DA103A"/>
    <w:pPr>
      <w:tabs>
        <w:tab w:val="left" w:pos="660"/>
        <w:tab w:val="right" w:pos="8296"/>
      </w:tabs>
      <w:spacing w:before="80"/>
    </w:pPr>
    <w:rPr>
      <w:rFonts w:ascii="Arial" w:eastAsiaTheme="minorEastAsia" w:hAnsi="Arial" w:cs="Arial"/>
      <w:b/>
      <w:bCs/>
      <w:sz w:val="20"/>
      <w:szCs w:val="20"/>
      <w:lang w:eastAsia="en-US"/>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lang w:eastAsia="en-US"/>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lang w:eastAsia="en-US"/>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lang w:eastAsia="en-US"/>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lang w:eastAsia="en-US"/>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lang w:eastAsia="en-US"/>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lang w:eastAsia="en-US"/>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lang w:eastAsia="en-US"/>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uiPriority w:val="39"/>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nhideWhenUsed/>
    <w:rsid w:val="00E52340"/>
    <w:rPr>
      <w:rFonts w:asciiTheme="minorHAnsi" w:eastAsiaTheme="minorHAnsi" w:hAnsiTheme="minorHAnsi" w:cstheme="minorBidi"/>
      <w:lang w:eastAsia="en-US"/>
    </w:rPr>
  </w:style>
  <w:style w:type="character" w:customStyle="1" w:styleId="FootnoteTextChar">
    <w:name w:val="Footnote Text Char"/>
    <w:basedOn w:val="DefaultParagraphFont"/>
    <w:link w:val="FootnoteText"/>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character" w:styleId="CommentReference">
    <w:name w:val="annotation reference"/>
    <w:basedOn w:val="DefaultParagraphFont"/>
    <w:semiHidden/>
    <w:unhideWhenUsed/>
    <w:rsid w:val="00781E32"/>
    <w:rPr>
      <w:sz w:val="18"/>
      <w:szCs w:val="18"/>
    </w:rPr>
  </w:style>
  <w:style w:type="paragraph" w:styleId="CommentText">
    <w:name w:val="annotation text"/>
    <w:basedOn w:val="Normal"/>
    <w:link w:val="CommentTextChar"/>
    <w:semiHidden/>
    <w:unhideWhenUsed/>
    <w:rsid w:val="00781E32"/>
  </w:style>
  <w:style w:type="character" w:customStyle="1" w:styleId="CommentTextChar">
    <w:name w:val="Comment Text Char"/>
    <w:basedOn w:val="DefaultParagraphFont"/>
    <w:link w:val="CommentText"/>
    <w:semiHidden/>
    <w:rsid w:val="00781E32"/>
    <w:rPr>
      <w:sz w:val="24"/>
      <w:szCs w:val="24"/>
      <w:lang w:val="en-GB" w:eastAsia="en-GB"/>
    </w:rPr>
  </w:style>
  <w:style w:type="paragraph" w:styleId="CommentSubject">
    <w:name w:val="annotation subject"/>
    <w:basedOn w:val="CommentText"/>
    <w:next w:val="CommentText"/>
    <w:link w:val="CommentSubjectChar"/>
    <w:semiHidden/>
    <w:unhideWhenUsed/>
    <w:rsid w:val="00781E32"/>
    <w:rPr>
      <w:b/>
      <w:bCs/>
      <w:sz w:val="20"/>
      <w:szCs w:val="20"/>
    </w:rPr>
  </w:style>
  <w:style w:type="character" w:customStyle="1" w:styleId="CommentSubjectChar">
    <w:name w:val="Comment Subject Char"/>
    <w:basedOn w:val="CommentTextChar"/>
    <w:link w:val="CommentSubject"/>
    <w:semiHidden/>
    <w:rsid w:val="00781E32"/>
    <w:rPr>
      <w:b/>
      <w:bCs/>
      <w:sz w:val="24"/>
      <w:szCs w:val="24"/>
      <w:lang w:val="en-GB" w:eastAsia="en-GB"/>
    </w:rPr>
  </w:style>
  <w:style w:type="character" w:customStyle="1" w:styleId="UnresolvedMention2">
    <w:name w:val="Unresolved Mention2"/>
    <w:basedOn w:val="DefaultParagraphFont"/>
    <w:uiPriority w:val="99"/>
    <w:semiHidden/>
    <w:unhideWhenUsed/>
    <w:rsid w:val="00E65989"/>
    <w:rPr>
      <w:color w:val="605E5C"/>
      <w:shd w:val="clear" w:color="auto" w:fill="E1DFDD"/>
    </w:rPr>
  </w:style>
  <w:style w:type="character" w:customStyle="1" w:styleId="UnresolvedMention3">
    <w:name w:val="Unresolved Mention3"/>
    <w:basedOn w:val="DefaultParagraphFont"/>
    <w:uiPriority w:val="99"/>
    <w:semiHidden/>
    <w:unhideWhenUsed/>
    <w:rsid w:val="00077B69"/>
    <w:rPr>
      <w:color w:val="605E5C"/>
      <w:shd w:val="clear" w:color="auto" w:fill="E1DFDD"/>
    </w:rPr>
  </w:style>
  <w:style w:type="character" w:customStyle="1" w:styleId="UnresolvedMention4">
    <w:name w:val="Unresolved Mention4"/>
    <w:basedOn w:val="DefaultParagraphFont"/>
    <w:rsid w:val="00663BAA"/>
    <w:rPr>
      <w:color w:val="605E5C"/>
      <w:shd w:val="clear" w:color="auto" w:fill="E1DFDD"/>
    </w:rPr>
  </w:style>
  <w:style w:type="character" w:styleId="Strong">
    <w:name w:val="Strong"/>
    <w:basedOn w:val="DefaultParagraphFont"/>
    <w:uiPriority w:val="22"/>
    <w:qFormat/>
    <w:rsid w:val="005321E7"/>
    <w:rPr>
      <w:b/>
      <w:bCs/>
    </w:rPr>
  </w:style>
  <w:style w:type="character" w:customStyle="1" w:styleId="UnresolvedMention5">
    <w:name w:val="Unresolved Mention5"/>
    <w:basedOn w:val="DefaultParagraphFont"/>
    <w:uiPriority w:val="99"/>
    <w:semiHidden/>
    <w:unhideWhenUsed/>
    <w:rsid w:val="00790868"/>
    <w:rPr>
      <w:color w:val="605E5C"/>
      <w:shd w:val="clear" w:color="auto" w:fill="E1DFDD"/>
    </w:rPr>
  </w:style>
  <w:style w:type="character" w:customStyle="1" w:styleId="UnresolvedMention6">
    <w:name w:val="Unresolved Mention6"/>
    <w:basedOn w:val="DefaultParagraphFont"/>
    <w:uiPriority w:val="99"/>
    <w:semiHidden/>
    <w:unhideWhenUsed/>
    <w:rsid w:val="00A673D2"/>
    <w:rPr>
      <w:color w:val="605E5C"/>
      <w:shd w:val="clear" w:color="auto" w:fill="E1DFDD"/>
    </w:rPr>
  </w:style>
  <w:style w:type="character" w:customStyle="1" w:styleId="ListParagraphChar">
    <w:name w:val="List Paragraph Char"/>
    <w:basedOn w:val="DefaultParagraphFont"/>
    <w:link w:val="ListParagraph"/>
    <w:uiPriority w:val="34"/>
    <w:rsid w:val="00C72076"/>
    <w:rPr>
      <w:rFonts w:asciiTheme="minorHAnsi" w:eastAsiaTheme="minorHAnsi" w:hAnsiTheme="minorHAnsi" w:cstheme="minorBidi"/>
      <w:sz w:val="22"/>
      <w:szCs w:val="22"/>
      <w:lang w:val="en-GB"/>
    </w:rPr>
  </w:style>
  <w:style w:type="paragraph" w:styleId="NoSpacing">
    <w:name w:val="No Spacing"/>
    <w:uiPriority w:val="1"/>
    <w:qFormat/>
    <w:rsid w:val="00C72076"/>
    <w:rPr>
      <w:rFonts w:asciiTheme="minorHAnsi" w:eastAsiaTheme="minorHAnsi" w:hAnsiTheme="minorHAnsi" w:cstheme="minorBidi"/>
      <w:sz w:val="22"/>
      <w:szCs w:val="22"/>
      <w:lang w:val="en-GB"/>
    </w:rPr>
  </w:style>
  <w:style w:type="paragraph" w:styleId="PlainText">
    <w:name w:val="Plain Text"/>
    <w:basedOn w:val="Normal"/>
    <w:link w:val="PlainTextChar"/>
    <w:uiPriority w:val="99"/>
    <w:unhideWhenUsed/>
    <w:rsid w:val="0092476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2476B"/>
    <w:rPr>
      <w:rFonts w:ascii="Calibri" w:eastAsiaTheme="minorHAnsi" w:hAnsi="Calibri" w:cstheme="minorBidi"/>
      <w:sz w:val="22"/>
      <w:szCs w:val="21"/>
      <w:lang w:val="en-GB"/>
    </w:rPr>
  </w:style>
  <w:style w:type="character" w:styleId="UnresolvedMention">
    <w:name w:val="Unresolved Mention"/>
    <w:basedOn w:val="DefaultParagraphFont"/>
    <w:uiPriority w:val="99"/>
    <w:semiHidden/>
    <w:unhideWhenUsed/>
    <w:rsid w:val="00FC01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4279">
      <w:bodyDiv w:val="1"/>
      <w:marLeft w:val="0"/>
      <w:marRight w:val="0"/>
      <w:marTop w:val="0"/>
      <w:marBottom w:val="0"/>
      <w:divBdr>
        <w:top w:val="none" w:sz="0" w:space="0" w:color="auto"/>
        <w:left w:val="none" w:sz="0" w:space="0" w:color="auto"/>
        <w:bottom w:val="none" w:sz="0" w:space="0" w:color="auto"/>
        <w:right w:val="none" w:sz="0" w:space="0" w:color="auto"/>
      </w:divBdr>
    </w:div>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278143946">
      <w:bodyDiv w:val="1"/>
      <w:marLeft w:val="0"/>
      <w:marRight w:val="0"/>
      <w:marTop w:val="0"/>
      <w:marBottom w:val="0"/>
      <w:divBdr>
        <w:top w:val="none" w:sz="0" w:space="0" w:color="auto"/>
        <w:left w:val="none" w:sz="0" w:space="0" w:color="auto"/>
        <w:bottom w:val="none" w:sz="0" w:space="0" w:color="auto"/>
        <w:right w:val="none" w:sz="0" w:space="0" w:color="auto"/>
      </w:divBdr>
    </w:div>
    <w:div w:id="561326940">
      <w:bodyDiv w:val="1"/>
      <w:marLeft w:val="0"/>
      <w:marRight w:val="0"/>
      <w:marTop w:val="0"/>
      <w:marBottom w:val="0"/>
      <w:divBdr>
        <w:top w:val="none" w:sz="0" w:space="0" w:color="auto"/>
        <w:left w:val="none" w:sz="0" w:space="0" w:color="auto"/>
        <w:bottom w:val="none" w:sz="0" w:space="0" w:color="auto"/>
        <w:right w:val="none" w:sz="0" w:space="0" w:color="auto"/>
      </w:divBdr>
    </w:div>
    <w:div w:id="584611039">
      <w:bodyDiv w:val="1"/>
      <w:marLeft w:val="0"/>
      <w:marRight w:val="0"/>
      <w:marTop w:val="0"/>
      <w:marBottom w:val="0"/>
      <w:divBdr>
        <w:top w:val="none" w:sz="0" w:space="0" w:color="auto"/>
        <w:left w:val="none" w:sz="0" w:space="0" w:color="auto"/>
        <w:bottom w:val="none" w:sz="0" w:space="0" w:color="auto"/>
        <w:right w:val="none" w:sz="0" w:space="0" w:color="auto"/>
      </w:divBdr>
    </w:div>
    <w:div w:id="604383441">
      <w:bodyDiv w:val="1"/>
      <w:marLeft w:val="0"/>
      <w:marRight w:val="0"/>
      <w:marTop w:val="0"/>
      <w:marBottom w:val="0"/>
      <w:divBdr>
        <w:top w:val="none" w:sz="0" w:space="0" w:color="auto"/>
        <w:left w:val="none" w:sz="0" w:space="0" w:color="auto"/>
        <w:bottom w:val="none" w:sz="0" w:space="0" w:color="auto"/>
        <w:right w:val="none" w:sz="0" w:space="0" w:color="auto"/>
      </w:divBdr>
    </w:div>
    <w:div w:id="634943800">
      <w:bodyDiv w:val="1"/>
      <w:marLeft w:val="0"/>
      <w:marRight w:val="0"/>
      <w:marTop w:val="0"/>
      <w:marBottom w:val="0"/>
      <w:divBdr>
        <w:top w:val="none" w:sz="0" w:space="0" w:color="auto"/>
        <w:left w:val="none" w:sz="0" w:space="0" w:color="auto"/>
        <w:bottom w:val="none" w:sz="0" w:space="0" w:color="auto"/>
        <w:right w:val="none" w:sz="0" w:space="0" w:color="auto"/>
      </w:divBdr>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872619587">
      <w:bodyDiv w:val="1"/>
      <w:marLeft w:val="0"/>
      <w:marRight w:val="0"/>
      <w:marTop w:val="0"/>
      <w:marBottom w:val="0"/>
      <w:divBdr>
        <w:top w:val="none" w:sz="0" w:space="0" w:color="auto"/>
        <w:left w:val="none" w:sz="0" w:space="0" w:color="auto"/>
        <w:bottom w:val="none" w:sz="0" w:space="0" w:color="auto"/>
        <w:right w:val="none" w:sz="0" w:space="0" w:color="auto"/>
      </w:divBdr>
    </w:div>
    <w:div w:id="923805880">
      <w:bodyDiv w:val="1"/>
      <w:marLeft w:val="0"/>
      <w:marRight w:val="0"/>
      <w:marTop w:val="0"/>
      <w:marBottom w:val="0"/>
      <w:divBdr>
        <w:top w:val="none" w:sz="0" w:space="0" w:color="auto"/>
        <w:left w:val="none" w:sz="0" w:space="0" w:color="auto"/>
        <w:bottom w:val="none" w:sz="0" w:space="0" w:color="auto"/>
        <w:right w:val="none" w:sz="0" w:space="0" w:color="auto"/>
      </w:divBdr>
      <w:divsChild>
        <w:div w:id="1022903452">
          <w:marLeft w:val="0"/>
          <w:marRight w:val="0"/>
          <w:marTop w:val="0"/>
          <w:marBottom w:val="0"/>
          <w:divBdr>
            <w:top w:val="none" w:sz="0" w:space="0" w:color="auto"/>
            <w:left w:val="none" w:sz="0" w:space="0" w:color="auto"/>
            <w:bottom w:val="none" w:sz="0" w:space="0" w:color="auto"/>
            <w:right w:val="none" w:sz="0" w:space="0" w:color="auto"/>
          </w:divBdr>
          <w:divsChild>
            <w:div w:id="152381114">
              <w:marLeft w:val="0"/>
              <w:marRight w:val="0"/>
              <w:marTop w:val="0"/>
              <w:marBottom w:val="0"/>
              <w:divBdr>
                <w:top w:val="none" w:sz="0" w:space="0" w:color="auto"/>
                <w:left w:val="none" w:sz="0" w:space="0" w:color="auto"/>
                <w:bottom w:val="none" w:sz="0" w:space="0" w:color="auto"/>
                <w:right w:val="none" w:sz="0" w:space="0" w:color="auto"/>
              </w:divBdr>
              <w:divsChild>
                <w:div w:id="731538593">
                  <w:marLeft w:val="0"/>
                  <w:marRight w:val="0"/>
                  <w:marTop w:val="0"/>
                  <w:marBottom w:val="0"/>
                  <w:divBdr>
                    <w:top w:val="none" w:sz="0" w:space="0" w:color="auto"/>
                    <w:left w:val="none" w:sz="0" w:space="0" w:color="auto"/>
                    <w:bottom w:val="none" w:sz="0" w:space="0" w:color="auto"/>
                    <w:right w:val="none" w:sz="0" w:space="0" w:color="auto"/>
                  </w:divBdr>
                  <w:divsChild>
                    <w:div w:id="380788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702677">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462963156">
      <w:bodyDiv w:val="1"/>
      <w:marLeft w:val="0"/>
      <w:marRight w:val="0"/>
      <w:marTop w:val="0"/>
      <w:marBottom w:val="0"/>
      <w:divBdr>
        <w:top w:val="none" w:sz="0" w:space="0" w:color="auto"/>
        <w:left w:val="none" w:sz="0" w:space="0" w:color="auto"/>
        <w:bottom w:val="none" w:sz="0" w:space="0" w:color="auto"/>
        <w:right w:val="none" w:sz="0" w:space="0" w:color="auto"/>
      </w:divBdr>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846824280">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1996520575">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quality-act-2010-guidanc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cse.england.nhs.uk/media/1268/application-form-and-guidance-notes-v17.d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amp;cad=rja&amp;uact=8&amp;ved=2ahUKEwjcgNuB1vz1AhUUi1wKHcL9DeoQFnoECA4QAQ&amp;url=https%3A%2F%2Fwww.legislation.gov.uk%2Fukpga%2F1990%2F23%2Fcontents&amp;usg=AOvVaw3RQBwl_SbHwh9r4MP3qdS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ogle.com/url?sa=t&amp;rct=j&amp;q=&amp;esrc=s&amp;source=web&amp;cd=&amp;cad=rja&amp;uact=8&amp;ved=2ahUKEwi83eeN1vz1AhUDiFwKHSK-D4EQFnoECAwQAQ&amp;url=https%3A%2F%2Fwww.legislation.gov.uk%2Fukpga%2F2018%2F12%2Fcontents%2Fenacted&amp;usg=AOvVaw1nLdFiC3yrsnW5qE79iLDw" TargetMode="External"/><Relationship Id="rId4" Type="http://schemas.openxmlformats.org/officeDocument/2006/relationships/settings" Target="settings.xml"/><Relationship Id="rId9" Type="http://schemas.openxmlformats.org/officeDocument/2006/relationships/hyperlink" Target="https://www.google.com/url?sa=t&amp;rct=j&amp;q=&amp;esrc=s&amp;source=web&amp;cd=&amp;cad=rja&amp;uact=8&amp;ved=2ahUKEwjk6IKd1vz1AhXpQUEAHQWvAE0QFnoECAkQAQ&amp;url=https%3A%2F%2Fuk-gdpr.org%2F&amp;usg=AOvVaw1QCG3_5q9v_bCAKvL0IhIP"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bma.org.uk/media/1868/bma-access-to-health-records-nov-19.pdf" TargetMode="External"/><Relationship Id="rId2" Type="http://schemas.openxmlformats.org/officeDocument/2006/relationships/hyperlink" Target="https://www.bma.org.uk/advice-and-support/ethics/confidentiality-and-health-records/access-to-health-records" TargetMode="External"/><Relationship Id="rId1" Type="http://schemas.openxmlformats.org/officeDocument/2006/relationships/hyperlink" Target="https://www.england.nhs.uk/publication/network-contract-directed-enhanced-service-contract-specification-2022-23-pcn-requirements-and-entitl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77F5D-983F-45C4-8AF8-40EF93A33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2572</Words>
  <Characters>15432</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Angela Howgate</cp:lastModifiedBy>
  <cp:revision>3</cp:revision>
  <cp:lastPrinted>2017-09-20T11:53:00Z</cp:lastPrinted>
  <dcterms:created xsi:type="dcterms:W3CDTF">2022-06-13T16:03:00Z</dcterms:created>
  <dcterms:modified xsi:type="dcterms:W3CDTF">2022-06-15T09:21:00Z</dcterms:modified>
</cp:coreProperties>
</file>