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Default="00C36A17" w:rsidP="00982AE7">
      <w:pPr>
        <w:rPr>
          <w:rFonts w:ascii="Arial" w:hAnsi="Arial" w:cs="Arial"/>
          <w:b/>
          <w:bCs/>
          <w:color w:val="2F759E" w:themeColor="accent1" w:themeShade="BF"/>
          <w:sz w:val="22"/>
          <w:szCs w:val="32"/>
          <w:lang w:val="en-GB" w:eastAsia="en-GB"/>
        </w:rPr>
      </w:pPr>
    </w:p>
    <w:p w:rsidR="008113EB" w:rsidRPr="00C36A17" w:rsidRDefault="008113EB" w:rsidP="00982AE7">
      <w:pPr>
        <w:rPr>
          <w:rFonts w:ascii="Arial" w:hAnsi="Arial" w:cs="Arial"/>
          <w:b/>
          <w:bCs/>
          <w:color w:val="2F759E" w:themeColor="accent1" w:themeShade="BF"/>
          <w:sz w:val="2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8669D4" w:rsidRDefault="008669D4" w:rsidP="00982AE7">
      <w:pPr>
        <w:pStyle w:val="Heading2"/>
        <w:spacing w:before="120" w:after="120"/>
        <w:rPr>
          <w:rFonts w:ascii="Arial" w:hAnsi="Arial" w:cs="Arial"/>
          <w:b w:val="0"/>
          <w:color w:val="auto"/>
          <w:sz w:val="24"/>
          <w:szCs w:val="24"/>
        </w:rPr>
      </w:pPr>
    </w:p>
    <w:p w:rsidR="008669D4" w:rsidRDefault="008669D4" w:rsidP="00982AE7">
      <w:pPr>
        <w:pStyle w:val="Heading2"/>
        <w:spacing w:before="120" w:after="120"/>
        <w:rPr>
          <w:rFonts w:ascii="Arial" w:hAnsi="Arial" w:cs="Arial"/>
          <w:b w:val="0"/>
          <w:color w:val="auto"/>
          <w:sz w:val="24"/>
          <w:szCs w:val="24"/>
        </w:rPr>
      </w:pPr>
    </w:p>
    <w:p w:rsidR="008669D4" w:rsidRDefault="008669D4" w:rsidP="00982AE7">
      <w:pPr>
        <w:pStyle w:val="Heading2"/>
        <w:spacing w:before="120" w:after="120"/>
        <w:rPr>
          <w:rFonts w:ascii="Arial" w:hAnsi="Arial" w:cs="Arial"/>
          <w:b w:val="0"/>
          <w:color w:val="auto"/>
          <w:sz w:val="24"/>
          <w:szCs w:val="24"/>
        </w:rPr>
      </w:pPr>
    </w:p>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8669D4"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r w:rsidR="008669D4">
              <w:rPr>
                <w:rFonts w:ascii="Arial" w:hAnsi="Arial" w:cs="Arial"/>
                <w:color w:val="000000" w:themeColor="text1"/>
                <w:sz w:val="22"/>
                <w:szCs w:val="22"/>
              </w:rPr>
              <w:t xml:space="preserve"> of Patient </w:t>
            </w:r>
          </w:p>
          <w:p w:rsidR="00982AE7" w:rsidRPr="00982AE7" w:rsidRDefault="008669D4"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(aged 11+)</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r w:rsidR="008669D4" w:rsidRPr="00982AE7" w:rsidTr="00982AE7">
        <w:tc>
          <w:tcPr>
            <w:tcW w:w="1560" w:type="dxa"/>
          </w:tcPr>
          <w:p w:rsidR="008669D4" w:rsidRDefault="008669D4"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Name of Proxy (if applicable)</w:t>
            </w:r>
          </w:p>
          <w:p w:rsidR="008669D4" w:rsidRPr="00982AE7" w:rsidRDefault="008669D4" w:rsidP="00982AE7">
            <w:pPr>
              <w:pStyle w:val="BodyText"/>
              <w:spacing w:after="0" w:line="240" w:lineRule="auto"/>
              <w:rPr>
                <w:rFonts w:ascii="Arial" w:hAnsi="Arial" w:cs="Arial"/>
                <w:color w:val="000000" w:themeColor="text1"/>
                <w:sz w:val="22"/>
                <w:szCs w:val="22"/>
              </w:rPr>
            </w:pPr>
          </w:p>
        </w:tc>
        <w:tc>
          <w:tcPr>
            <w:tcW w:w="4536" w:type="dxa"/>
          </w:tcPr>
          <w:p w:rsidR="008669D4" w:rsidRDefault="008669D4" w:rsidP="00982AE7">
            <w:pPr>
              <w:pStyle w:val="BodyText"/>
              <w:spacing w:after="0" w:line="240" w:lineRule="auto"/>
              <w:rPr>
                <w:rFonts w:ascii="Arial" w:hAnsi="Arial" w:cs="Arial"/>
                <w:color w:val="000000" w:themeColor="text1"/>
                <w:sz w:val="22"/>
                <w:szCs w:val="22"/>
              </w:rPr>
            </w:pPr>
          </w:p>
        </w:tc>
        <w:tc>
          <w:tcPr>
            <w:tcW w:w="708" w:type="dxa"/>
          </w:tcPr>
          <w:p w:rsidR="008669D4" w:rsidRPr="00982AE7" w:rsidRDefault="008669D4"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Date</w:t>
            </w:r>
          </w:p>
        </w:tc>
        <w:tc>
          <w:tcPr>
            <w:tcW w:w="2268" w:type="dxa"/>
          </w:tcPr>
          <w:p w:rsidR="008669D4" w:rsidRPr="00982AE7" w:rsidRDefault="008669D4" w:rsidP="00982AE7">
            <w:pPr>
              <w:pStyle w:val="BodyText"/>
              <w:spacing w:after="0" w:line="240" w:lineRule="auto"/>
              <w:rPr>
                <w:rFonts w:ascii="Arial" w:hAnsi="Arial" w:cs="Arial"/>
                <w:color w:val="000000" w:themeColor="text1"/>
                <w:sz w:val="22"/>
                <w:szCs w:val="22"/>
              </w:rPr>
            </w:pPr>
          </w:p>
        </w:tc>
      </w:tr>
      <w:tr w:rsidR="008669D4" w:rsidRPr="00982AE7" w:rsidTr="00982AE7">
        <w:tc>
          <w:tcPr>
            <w:tcW w:w="1560" w:type="dxa"/>
          </w:tcPr>
          <w:p w:rsidR="008669D4" w:rsidRDefault="008669D4"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Proxy</w:t>
            </w:r>
          </w:p>
          <w:p w:rsidR="008669D4" w:rsidRDefault="008669D4"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Signature</w:t>
            </w:r>
          </w:p>
        </w:tc>
        <w:tc>
          <w:tcPr>
            <w:tcW w:w="4536" w:type="dxa"/>
          </w:tcPr>
          <w:p w:rsidR="008669D4" w:rsidRDefault="008669D4" w:rsidP="00982AE7">
            <w:pPr>
              <w:pStyle w:val="BodyText"/>
              <w:spacing w:after="0" w:line="240" w:lineRule="auto"/>
              <w:rPr>
                <w:rFonts w:ascii="Arial" w:hAnsi="Arial" w:cs="Arial"/>
                <w:color w:val="000000" w:themeColor="text1"/>
                <w:sz w:val="22"/>
                <w:szCs w:val="22"/>
              </w:rPr>
            </w:pPr>
          </w:p>
        </w:tc>
        <w:tc>
          <w:tcPr>
            <w:tcW w:w="708" w:type="dxa"/>
          </w:tcPr>
          <w:p w:rsidR="008669D4" w:rsidRDefault="008669D4"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Date</w:t>
            </w:r>
          </w:p>
        </w:tc>
        <w:tc>
          <w:tcPr>
            <w:tcW w:w="2268" w:type="dxa"/>
          </w:tcPr>
          <w:p w:rsidR="008669D4" w:rsidRPr="00982AE7" w:rsidRDefault="008669D4"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5B2E69">
        <w:trPr>
          <w:trHeight w:val="1177"/>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5B2E69" w:rsidRPr="00982AE7" w:rsidTr="00982AE7">
        <w:tc>
          <w:tcPr>
            <w:tcW w:w="2694" w:type="dxa"/>
          </w:tcPr>
          <w:p w:rsidR="005B2E69" w:rsidRPr="00982AE7" w:rsidRDefault="005B2E69" w:rsidP="00982AE7">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EMIS ID</w:t>
            </w:r>
          </w:p>
        </w:tc>
        <w:tc>
          <w:tcPr>
            <w:tcW w:w="5103" w:type="dxa"/>
            <w:gridSpan w:val="2"/>
          </w:tcPr>
          <w:p w:rsidR="005B2E69" w:rsidRPr="00982AE7" w:rsidRDefault="005B2E69" w:rsidP="00982AE7">
            <w:pPr>
              <w:pStyle w:val="bodytext4"/>
              <w:spacing w:before="0" w:after="0"/>
              <w:rPr>
                <w:rFonts w:ascii="Arial" w:hAnsi="Arial" w:cs="Arial"/>
                <w:i w:val="0"/>
                <w:iCs/>
                <w:color w:val="B2B2B2" w:themeColor="text2" w:themeTint="66"/>
                <w:sz w:val="22"/>
                <w:szCs w:val="22"/>
              </w:rPr>
            </w:pPr>
          </w:p>
        </w:tc>
        <w:tc>
          <w:tcPr>
            <w:tcW w:w="1275" w:type="dxa"/>
          </w:tcPr>
          <w:p w:rsidR="005B2E69" w:rsidRPr="00982AE7" w:rsidRDefault="005B2E69" w:rsidP="00982AE7">
            <w:pPr>
              <w:pStyle w:val="bodytext4"/>
              <w:spacing w:before="0" w:after="0"/>
              <w:rPr>
                <w:rFonts w:ascii="Arial" w:hAnsi="Arial" w:cs="Arial"/>
                <w:i w:val="0"/>
                <w:iCs/>
                <w:color w:val="B2B2B2" w:themeColor="text2" w:themeTint="66"/>
                <w:sz w:val="22"/>
                <w:szCs w:val="22"/>
              </w:rPr>
            </w:pP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8C378E" w:rsidRPr="00982AE7" w:rsidTr="00982AE7">
        <w:tc>
          <w:tcPr>
            <w:tcW w:w="2694" w:type="dxa"/>
          </w:tcPr>
          <w:p w:rsidR="008C378E" w:rsidRPr="00982AE7" w:rsidRDefault="008C378E" w:rsidP="00982AE7">
            <w:pPr>
              <w:pStyle w:val="bodytext4"/>
              <w:spacing w:before="0" w:after="0"/>
              <w:rPr>
                <w:rFonts w:ascii="Arial" w:hAnsi="Arial" w:cs="Arial"/>
                <w:i w:val="0"/>
                <w:iCs/>
                <w:color w:val="B2B2B2" w:themeColor="text2" w:themeTint="66"/>
                <w:sz w:val="22"/>
                <w:szCs w:val="22"/>
              </w:rPr>
            </w:pPr>
          </w:p>
        </w:tc>
        <w:tc>
          <w:tcPr>
            <w:tcW w:w="5103" w:type="dxa"/>
            <w:gridSpan w:val="2"/>
          </w:tcPr>
          <w:p w:rsidR="008C378E" w:rsidRPr="00982AE7" w:rsidRDefault="008C378E" w:rsidP="00982AE7">
            <w:pPr>
              <w:pStyle w:val="bodytext4"/>
              <w:spacing w:before="0" w:after="0"/>
              <w:rPr>
                <w:rFonts w:ascii="Arial" w:hAnsi="Arial" w:cs="Arial"/>
                <w:i w:val="0"/>
                <w:iCs/>
                <w:color w:val="B2B2B2" w:themeColor="text2" w:themeTint="66"/>
                <w:sz w:val="22"/>
                <w:szCs w:val="22"/>
              </w:rPr>
            </w:pPr>
          </w:p>
        </w:tc>
        <w:tc>
          <w:tcPr>
            <w:tcW w:w="1275" w:type="dxa"/>
          </w:tcPr>
          <w:p w:rsidR="008C378E" w:rsidRPr="00982AE7" w:rsidRDefault="008C378E" w:rsidP="00982AE7">
            <w:pPr>
              <w:pStyle w:val="bodytext4"/>
              <w:spacing w:before="0" w:after="0"/>
              <w:rPr>
                <w:rFonts w:ascii="Arial" w:hAnsi="Arial" w:cs="Arial"/>
                <w:i w:val="0"/>
                <w:iCs/>
                <w:color w:val="B2B2B2" w:themeColor="text2" w:themeTint="66"/>
                <w:sz w:val="22"/>
                <w:szCs w:val="22"/>
              </w:rPr>
            </w:pPr>
          </w:p>
        </w:tc>
      </w:tr>
    </w:tbl>
    <w:p w:rsidR="008C378E" w:rsidRDefault="008C378E" w:rsidP="008669D4">
      <w:pPr>
        <w:rPr>
          <w:rFonts w:ascii="Arial" w:hAnsi="Arial" w:cs="Arial"/>
          <w:b/>
          <w:bCs/>
          <w:color w:val="2F759E" w:themeColor="accent1" w:themeShade="BF"/>
          <w:sz w:val="32"/>
          <w:szCs w:val="32"/>
          <w:lang w:val="en-GB" w:eastAsia="en-GB"/>
        </w:rPr>
      </w:pPr>
    </w:p>
    <w:p w:rsidR="008C378E" w:rsidRDefault="008C378E" w:rsidP="008669D4">
      <w:pPr>
        <w:rPr>
          <w:rFonts w:ascii="Arial" w:hAnsi="Arial" w:cs="Arial"/>
          <w:b/>
          <w:bCs/>
          <w:color w:val="2F759E" w:themeColor="accent1" w:themeShade="BF"/>
          <w:sz w:val="32"/>
          <w:szCs w:val="32"/>
          <w:lang w:val="en-GB" w:eastAsia="en-GB"/>
        </w:rPr>
      </w:pPr>
    </w:p>
    <w:p w:rsidR="00C36A17" w:rsidRDefault="00C36A17" w:rsidP="008669D4">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w:t>
      </w:r>
      <w:r w:rsidR="008C378E">
        <w:rPr>
          <w:rFonts w:ascii="Arial" w:hAnsi="Arial" w:cs="Arial"/>
          <w:b/>
          <w:iCs/>
          <w:lang w:val="en-GB"/>
        </w:rPr>
        <w:t xml:space="preserve">or share </w:t>
      </w:r>
      <w:r w:rsidRPr="00C36A17">
        <w:rPr>
          <w:rFonts w:ascii="Arial" w:hAnsi="Arial" w:cs="Arial"/>
          <w:b/>
          <w:iCs/>
          <w:lang w:val="en-GB"/>
        </w:rPr>
        <w:t xml:space="preserve">any information from your record, it is also your responsibility to keep this secure.  If you are at all worried about keeping printed copies safe, we recommend that you do not make copies at all. </w:t>
      </w:r>
      <w:r w:rsidR="008C378E">
        <w:rPr>
          <w:rFonts w:ascii="Arial" w:hAnsi="Arial" w:cs="Arial"/>
          <w:b/>
          <w:iCs/>
          <w:lang w:val="en-GB"/>
        </w:rPr>
        <w:t>You can also download a copy of your medical record to a device of your choice and share your record with who you wish</w:t>
      </w:r>
      <w:proofErr w:type="gramStart"/>
      <w:r w:rsidR="008C378E">
        <w:rPr>
          <w:rFonts w:ascii="Arial" w:hAnsi="Arial" w:cs="Arial"/>
          <w:b/>
          <w:iCs/>
          <w:lang w:val="en-GB"/>
        </w:rPr>
        <w:t>,</w:t>
      </w:r>
      <w:proofErr w:type="gramEnd"/>
      <w:r w:rsidR="008C378E">
        <w:rPr>
          <w:rFonts w:ascii="Arial" w:hAnsi="Arial" w:cs="Arial"/>
          <w:b/>
          <w:iCs/>
          <w:lang w:val="en-GB"/>
        </w:rPr>
        <w:t xml:space="preserve"> it is your responsibility to ensure the security of sharing your record. </w:t>
      </w:r>
    </w:p>
    <w:p w:rsidR="00C36A17" w:rsidRDefault="00C36A17" w:rsidP="00C36A17">
      <w:pPr>
        <w:rPr>
          <w:rFonts w:ascii="Arial" w:hAnsi="Arial" w:cs="Arial"/>
          <w:b/>
          <w:iCs/>
          <w:sz w:val="18"/>
          <w:lang w:val="en-GB"/>
        </w:rPr>
      </w:pP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color w:val="2F759E" w:themeColor="accent1" w:themeShade="BF"/>
          <w:sz w:val="32"/>
          <w:szCs w:val="32"/>
          <w:bdr w:val="none" w:sz="0" w:space="0" w:color="auto"/>
          <w:lang w:val="en-GB"/>
        </w:rPr>
      </w:pPr>
      <w:r w:rsidRPr="008669D4">
        <w:rPr>
          <w:rFonts w:ascii="Arial" w:eastAsia="Calibri" w:hAnsi="Arial" w:cs="Arial"/>
          <w:b/>
          <w:color w:val="2F759E" w:themeColor="accent1" w:themeShade="BF"/>
          <w:sz w:val="32"/>
          <w:szCs w:val="32"/>
          <w:bdr w:val="none" w:sz="0" w:space="0" w:color="auto"/>
          <w:lang w:val="en-GB"/>
        </w:rPr>
        <w:t>Access for children, parents and guardians</w:t>
      </w:r>
    </w:p>
    <w:p w:rsidR="008669D4" w:rsidRPr="008669D4" w:rsidRDefault="008669D4" w:rsidP="008669D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Child access will automatically be disabled when a child reaches the age of 11</w:t>
      </w:r>
    </w:p>
    <w:p w:rsidR="008669D4" w:rsidRPr="008669D4" w:rsidRDefault="008669D4" w:rsidP="008669D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A competency assessment will be carried out. Regardless of outcome a parent/guardian/carer will re-apply using the Proxy Access Registration Process, where a competent child must authorise the request for Proxy Access. This will be at the discretion of a clinician.</w:t>
      </w:r>
    </w:p>
    <w:p w:rsidR="008669D4" w:rsidRPr="008669D4" w:rsidRDefault="008669D4" w:rsidP="008669D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A child deemed competent may have access to their online record or authorise a parent/carer to have Proxy Access</w:t>
      </w:r>
    </w:p>
    <w:p w:rsidR="008669D4" w:rsidRPr="008669D4" w:rsidRDefault="008669D4" w:rsidP="008669D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Where a child is deemed not to be competent, a parent will apply for access but will be registered as a Proxy User.</w:t>
      </w:r>
      <w:r w:rsidRPr="008669D4">
        <w:rPr>
          <w:rFonts w:ascii="Arial" w:eastAsia="Calibri" w:hAnsi="Arial" w:cs="Arial"/>
          <w:b/>
          <w:bdr w:val="none" w:sz="0" w:space="0" w:color="auto"/>
          <w:lang w:val="en-GB"/>
        </w:rPr>
        <w:t xml:space="preserve"> (</w:t>
      </w:r>
      <w:r w:rsidRPr="008669D4">
        <w:rPr>
          <w:rFonts w:ascii="Arial" w:eastAsia="Calibri" w:hAnsi="Arial" w:cs="Arial"/>
          <w:bdr w:val="none" w:sz="0" w:space="0" w:color="auto"/>
          <w:lang w:val="en-GB"/>
        </w:rPr>
        <w:t>This will be reviewed by the practice annually, or when the child attends a further appointment – whichever is the sooner)</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eastAsia="Calibri" w:hAnsi="Calibri" w:cs="Calibri"/>
          <w:b/>
          <w:sz w:val="22"/>
          <w:szCs w:val="22"/>
          <w:u w:val="single"/>
          <w:bdr w:val="none" w:sz="0" w:space="0" w:color="auto"/>
          <w:lang w:val="en-GB"/>
        </w:rPr>
      </w:pP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color w:val="2F759E" w:themeColor="accent1" w:themeShade="BF"/>
          <w:sz w:val="32"/>
          <w:szCs w:val="32"/>
          <w:bdr w:val="none" w:sz="0" w:space="0" w:color="auto"/>
          <w:lang w:val="en-GB"/>
        </w:rPr>
      </w:pPr>
      <w:r w:rsidRPr="008669D4">
        <w:rPr>
          <w:rFonts w:ascii="Arial" w:eastAsia="Calibri" w:hAnsi="Arial" w:cs="Arial"/>
          <w:b/>
          <w:color w:val="2F759E" w:themeColor="accent1" w:themeShade="BF"/>
          <w:sz w:val="32"/>
          <w:szCs w:val="32"/>
          <w:bdr w:val="none" w:sz="0" w:space="0" w:color="auto"/>
          <w:lang w:val="en-GB"/>
        </w:rPr>
        <w:t>Proxy Access</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 xml:space="preserve">A competent patient can choose and consent to allow access to relatives and/or carers. </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w:eastAsia="Calibri" w:hAnsi="Arial" w:cs="Arial"/>
          <w:b/>
          <w:u w:val="single"/>
          <w:bdr w:val="none" w:sz="0" w:space="0" w:color="auto"/>
          <w:lang w:val="en-GB"/>
        </w:rPr>
      </w:pP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The patient will authorise a Proxy Application in the following circumstances:</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b/>
          <w:u w:val="single"/>
          <w:bdr w:val="none" w:sz="0" w:space="0" w:color="auto"/>
          <w:lang w:val="en-GB"/>
        </w:rPr>
      </w:pP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A patient who has been deemed as competent has authorised and consented to online access.</w:t>
      </w:r>
    </w:p>
    <w:p w:rsidR="008669D4" w:rsidRPr="008669D4" w:rsidRDefault="008669D4" w:rsidP="008669D4">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Circumstances when the practice will consider authorising proxy access WITHOUT the patient’s consent will be when a child 11-16 has been assessed and is deemed as not being competent to make a decision on granting proxy access. Should there be such circumstances the practice will: Ensure the patient has provided consent to the Proxy application</w:t>
      </w:r>
    </w:p>
    <w:p w:rsidR="008669D4" w:rsidRPr="008669D4" w:rsidRDefault="008669D4" w:rsidP="008669D4">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Ensure the level of access granted to the Proxy is appropriate and does not exceed what has been agreed by the patient</w:t>
      </w:r>
    </w:p>
    <w:p w:rsidR="008669D4" w:rsidRPr="008669D4" w:rsidRDefault="008669D4" w:rsidP="008669D4">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Contact families/carers of children approaching  their 11</w:t>
      </w:r>
      <w:r w:rsidRPr="008669D4">
        <w:rPr>
          <w:rFonts w:ascii="Arial" w:eastAsia="Calibri" w:hAnsi="Arial" w:cs="Arial"/>
          <w:bdr w:val="none" w:sz="0" w:space="0" w:color="auto"/>
          <w:vertAlign w:val="superscript"/>
          <w:lang w:val="en-GB"/>
        </w:rPr>
        <w:t>th</w:t>
      </w:r>
      <w:r w:rsidRPr="008669D4">
        <w:rPr>
          <w:rFonts w:ascii="Arial" w:eastAsia="Calibri" w:hAnsi="Arial" w:cs="Arial"/>
          <w:bdr w:val="none" w:sz="0" w:space="0" w:color="auto"/>
          <w:lang w:val="en-GB"/>
        </w:rPr>
        <w:t xml:space="preserve"> birthday to remind them that online access could potentially cease, and invite them to come to the surgery for a discussion regarding options available</w:t>
      </w:r>
    </w:p>
    <w:p w:rsid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color w:val="2F759E" w:themeColor="accent1" w:themeShade="BF"/>
          <w:sz w:val="32"/>
          <w:szCs w:val="32"/>
          <w:bdr w:val="none" w:sz="0" w:space="0" w:color="auto"/>
          <w:lang w:val="en-GB"/>
        </w:rPr>
      </w:pPr>
    </w:p>
    <w:p w:rsidR="008C378E" w:rsidRDefault="008C378E"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color w:val="2F759E" w:themeColor="accent1" w:themeShade="BF"/>
          <w:sz w:val="32"/>
          <w:szCs w:val="32"/>
          <w:bdr w:val="none" w:sz="0" w:space="0" w:color="auto"/>
          <w:lang w:val="en-GB"/>
        </w:rPr>
      </w:pPr>
    </w:p>
    <w:p w:rsidR="008C378E" w:rsidRDefault="008C378E"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color w:val="2F759E" w:themeColor="accent1" w:themeShade="BF"/>
          <w:sz w:val="32"/>
          <w:szCs w:val="32"/>
          <w:bdr w:val="none" w:sz="0" w:space="0" w:color="auto"/>
          <w:lang w:val="en-GB"/>
        </w:rPr>
      </w:pP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color w:val="2F759E" w:themeColor="accent1" w:themeShade="BF"/>
          <w:sz w:val="32"/>
          <w:szCs w:val="32"/>
          <w:bdr w:val="none" w:sz="0" w:space="0" w:color="auto"/>
          <w:lang w:val="en-GB"/>
        </w:rPr>
      </w:pPr>
      <w:bookmarkStart w:id="0" w:name="_GoBack"/>
      <w:bookmarkEnd w:id="0"/>
      <w:r w:rsidRPr="008669D4">
        <w:rPr>
          <w:rFonts w:ascii="Arial" w:eastAsia="Calibri" w:hAnsi="Arial" w:cs="Arial"/>
          <w:b/>
          <w:color w:val="2F759E" w:themeColor="accent1" w:themeShade="BF"/>
          <w:sz w:val="32"/>
          <w:szCs w:val="32"/>
          <w:bdr w:val="none" w:sz="0" w:space="0" w:color="auto"/>
          <w:lang w:val="en-GB"/>
        </w:rPr>
        <w:lastRenderedPageBreak/>
        <w:t>Coercion</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8669D4">
        <w:rPr>
          <w:rFonts w:ascii="Arial" w:eastAsia="Calibri" w:hAnsi="Arial" w:cs="Arial"/>
          <w:bdr w:val="none" w:sz="0" w:space="0" w:color="auto"/>
          <w:lang w:val="en-GB"/>
        </w:rPr>
        <w:t>‘Coercion’ is the act of governing the actions of another by force or by threat, in order to overwhelm and compel that individual to act against their will.</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u w:val="single"/>
          <w:bdr w:val="none" w:sz="0" w:space="0" w:color="auto"/>
          <w:lang w:val="en-GB"/>
        </w:rPr>
      </w:pP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8669D4">
        <w:rPr>
          <w:rFonts w:ascii="Arial" w:eastAsia="Calibri" w:hAnsi="Arial" w:cs="Arial"/>
          <w:bdr w:val="none" w:sz="0" w:space="0" w:color="auto"/>
          <w:lang w:val="en-GB"/>
        </w:rPr>
        <w:t>The practice will consider the risk of Coercion on a case by case basis as requests for access are received, and if necessary will decline access.</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The patient’s named GP will discuss with the applicant the reasons for refusal of access.</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u w:val="single"/>
          <w:bdr w:val="none" w:sz="0" w:space="0" w:color="auto"/>
          <w:lang w:val="en-GB"/>
        </w:rPr>
      </w:pPr>
      <w:r w:rsidRPr="008669D4">
        <w:rPr>
          <w:rFonts w:ascii="Arial" w:eastAsia="Calibri" w:hAnsi="Arial" w:cs="Arial"/>
          <w:bdr w:val="none" w:sz="0" w:space="0" w:color="auto"/>
          <w:lang w:val="en-GB"/>
        </w:rPr>
        <w:t>If coercion is identified as a risk with regard to a patient previously registered for online services, then access will be immediately removed.</w:t>
      </w:r>
    </w:p>
    <w:p w:rsidR="008669D4" w:rsidRPr="008669D4" w:rsidRDefault="008669D4" w:rsidP="008669D4">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eastAsia="Calibri" w:hAnsi="Calibri" w:cs="Calibri"/>
          <w:b/>
          <w:sz w:val="22"/>
          <w:szCs w:val="22"/>
          <w:u w:val="single"/>
          <w:bdr w:val="none" w:sz="0" w:space="0" w:color="auto"/>
          <w:lang w:val="en-GB"/>
        </w:rPr>
      </w:pPr>
    </w:p>
    <w:p w:rsidR="008669D4" w:rsidRPr="004F326B" w:rsidRDefault="008669D4"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376DC2" w:rsidRDefault="00C36A17" w:rsidP="00C36A17">
            <w:pPr>
              <w:rPr>
                <w:rFonts w:ascii="Arial" w:hAnsi="Arial" w:cs="Arial"/>
                <w:b/>
                <w:bCs/>
                <w:sz w:val="22"/>
                <w:szCs w:val="22"/>
                <w:lang w:val="en-GB"/>
              </w:rPr>
            </w:pPr>
            <w:r w:rsidRPr="00376DC2">
              <w:rPr>
                <w:rFonts w:ascii="Arial" w:hAnsi="Arial" w:cs="Arial"/>
                <w:b/>
                <w:bCs/>
                <w:sz w:val="22"/>
                <w:szCs w:val="22"/>
                <w:lang w:val="en-GB"/>
              </w:rPr>
              <w:t xml:space="preserve">Forgotten history </w:t>
            </w:r>
          </w:p>
          <w:p w:rsidR="00C36A17" w:rsidRPr="00376DC2" w:rsidRDefault="00C36A17" w:rsidP="00C36A17">
            <w:pPr>
              <w:rPr>
                <w:rFonts w:ascii="Arial" w:hAnsi="Arial" w:cs="Arial"/>
                <w:sz w:val="22"/>
                <w:szCs w:val="22"/>
                <w:lang w:val="en-GB"/>
              </w:rPr>
            </w:pPr>
            <w:r w:rsidRPr="00376DC2">
              <w:rPr>
                <w:rFonts w:ascii="Arial" w:hAnsi="Arial" w:cs="Arial"/>
                <w:sz w:val="22"/>
                <w:szCs w:val="22"/>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376DC2" w:rsidRDefault="00C36A17" w:rsidP="00C36A17">
            <w:pPr>
              <w:rPr>
                <w:rFonts w:ascii="Arial" w:hAnsi="Arial" w:cs="Arial"/>
                <w:b/>
                <w:bCs/>
                <w:sz w:val="22"/>
                <w:szCs w:val="22"/>
                <w:lang w:val="en-GB"/>
              </w:rPr>
            </w:pPr>
            <w:r w:rsidRPr="00376DC2">
              <w:rPr>
                <w:rFonts w:ascii="Arial" w:hAnsi="Arial" w:cs="Arial"/>
                <w:b/>
                <w:bCs/>
                <w:sz w:val="22"/>
                <w:szCs w:val="22"/>
                <w:lang w:val="en-GB"/>
              </w:rPr>
              <w:t xml:space="preserve">Abnormal results or bad news  </w:t>
            </w:r>
          </w:p>
          <w:p w:rsidR="00C36A17" w:rsidRPr="00376DC2" w:rsidRDefault="00C36A17" w:rsidP="00C36A17">
            <w:pPr>
              <w:rPr>
                <w:rFonts w:ascii="Arial" w:hAnsi="Arial" w:cs="Arial"/>
                <w:sz w:val="22"/>
                <w:szCs w:val="22"/>
                <w:lang w:val="en-GB"/>
              </w:rPr>
            </w:pPr>
            <w:r w:rsidRPr="00376DC2">
              <w:rPr>
                <w:rFonts w:ascii="Arial" w:hAnsi="Arial" w:cs="Arial"/>
                <w:sz w:val="22"/>
                <w:szCs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376DC2" w:rsidRDefault="00C36A17" w:rsidP="00C36A17">
            <w:pPr>
              <w:rPr>
                <w:rFonts w:ascii="Arial" w:hAnsi="Arial" w:cs="Arial"/>
                <w:b/>
                <w:bCs/>
                <w:sz w:val="22"/>
                <w:szCs w:val="22"/>
                <w:lang w:val="en-GB"/>
              </w:rPr>
            </w:pPr>
            <w:r w:rsidRPr="00376DC2">
              <w:rPr>
                <w:rFonts w:ascii="Arial" w:hAnsi="Arial" w:cs="Arial"/>
                <w:b/>
                <w:bCs/>
                <w:sz w:val="22"/>
                <w:szCs w:val="22"/>
                <w:lang w:val="en-GB"/>
              </w:rPr>
              <w:t xml:space="preserve">Choosing to share your information with someone </w:t>
            </w:r>
          </w:p>
          <w:p w:rsidR="00C36A17" w:rsidRPr="00376DC2" w:rsidRDefault="00C36A17" w:rsidP="00C36A17">
            <w:pPr>
              <w:rPr>
                <w:rFonts w:ascii="Arial" w:hAnsi="Arial" w:cs="Arial"/>
                <w:sz w:val="22"/>
                <w:szCs w:val="22"/>
                <w:lang w:val="en-GB"/>
              </w:rPr>
            </w:pPr>
            <w:r w:rsidRPr="00376DC2">
              <w:rPr>
                <w:rFonts w:ascii="Arial" w:hAnsi="Arial" w:cs="Arial"/>
                <w:sz w:val="22"/>
                <w:szCs w:val="22"/>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376DC2" w:rsidRDefault="00C36A17" w:rsidP="00C36A17">
            <w:pPr>
              <w:rPr>
                <w:rFonts w:ascii="Arial" w:hAnsi="Arial" w:cs="Arial"/>
                <w:b/>
                <w:bCs/>
                <w:sz w:val="22"/>
                <w:szCs w:val="22"/>
                <w:lang w:val="en-GB"/>
              </w:rPr>
            </w:pPr>
            <w:r w:rsidRPr="00376DC2">
              <w:rPr>
                <w:rFonts w:ascii="Arial" w:hAnsi="Arial" w:cs="Arial"/>
                <w:b/>
                <w:bCs/>
                <w:sz w:val="22"/>
                <w:szCs w:val="22"/>
                <w:lang w:val="en-GB"/>
              </w:rPr>
              <w:t xml:space="preserve">Coercion </w:t>
            </w:r>
          </w:p>
          <w:p w:rsidR="00C36A17" w:rsidRPr="00376DC2" w:rsidRDefault="00C36A17" w:rsidP="00C36A17">
            <w:pPr>
              <w:rPr>
                <w:rFonts w:ascii="Arial" w:hAnsi="Arial" w:cs="Arial"/>
                <w:sz w:val="22"/>
                <w:szCs w:val="22"/>
                <w:lang w:val="en-GB"/>
              </w:rPr>
            </w:pPr>
            <w:r w:rsidRPr="00376DC2">
              <w:rPr>
                <w:rFonts w:ascii="Arial" w:hAnsi="Arial" w:cs="Arial"/>
                <w:sz w:val="22"/>
                <w:szCs w:val="22"/>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376DC2" w:rsidRDefault="00C36A17" w:rsidP="00C36A17">
            <w:pPr>
              <w:rPr>
                <w:rFonts w:ascii="Arial" w:hAnsi="Arial" w:cs="Arial"/>
                <w:b/>
                <w:bCs/>
                <w:sz w:val="22"/>
                <w:szCs w:val="22"/>
                <w:lang w:val="en-GB"/>
              </w:rPr>
            </w:pPr>
            <w:r w:rsidRPr="00376DC2">
              <w:rPr>
                <w:rFonts w:ascii="Arial" w:hAnsi="Arial" w:cs="Arial"/>
                <w:b/>
                <w:bCs/>
                <w:sz w:val="22"/>
                <w:szCs w:val="22"/>
                <w:lang w:val="en-GB"/>
              </w:rPr>
              <w:t xml:space="preserve">Misunderstood information </w:t>
            </w:r>
          </w:p>
          <w:p w:rsidR="00C36A17" w:rsidRPr="00376DC2" w:rsidRDefault="00C36A17" w:rsidP="00C36A17">
            <w:pPr>
              <w:rPr>
                <w:rFonts w:ascii="Arial" w:hAnsi="Arial" w:cs="Arial"/>
                <w:sz w:val="22"/>
                <w:szCs w:val="22"/>
                <w:lang w:val="en-GB"/>
              </w:rPr>
            </w:pPr>
            <w:r w:rsidRPr="00376DC2">
              <w:rPr>
                <w:rFonts w:ascii="Arial" w:hAnsi="Arial" w:cs="Arial"/>
                <w:sz w:val="22"/>
                <w:szCs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376DC2" w:rsidRDefault="00C36A17" w:rsidP="00C36A17">
            <w:pPr>
              <w:rPr>
                <w:rFonts w:ascii="Arial" w:hAnsi="Arial" w:cs="Arial"/>
                <w:b/>
                <w:bCs/>
                <w:sz w:val="22"/>
                <w:szCs w:val="22"/>
                <w:lang w:val="en-GB"/>
              </w:rPr>
            </w:pPr>
            <w:r w:rsidRPr="00376DC2">
              <w:rPr>
                <w:rFonts w:ascii="Arial" w:hAnsi="Arial" w:cs="Arial"/>
                <w:b/>
                <w:bCs/>
                <w:sz w:val="22"/>
                <w:szCs w:val="22"/>
                <w:lang w:val="en-GB"/>
              </w:rPr>
              <w:t xml:space="preserve">Information about someone else </w:t>
            </w:r>
          </w:p>
          <w:p w:rsidR="00C36A17" w:rsidRPr="00376DC2" w:rsidRDefault="00C36A17" w:rsidP="00C36A17">
            <w:pPr>
              <w:rPr>
                <w:rFonts w:ascii="Arial" w:hAnsi="Arial" w:cs="Arial"/>
                <w:sz w:val="22"/>
                <w:szCs w:val="22"/>
                <w:lang w:val="en-GB"/>
              </w:rPr>
            </w:pPr>
            <w:r w:rsidRPr="00376DC2">
              <w:rPr>
                <w:rFonts w:ascii="Arial" w:hAnsi="Arial" w:cs="Arial"/>
                <w:sz w:val="22"/>
                <w:szCs w:val="22"/>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F326B"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hyperlink r:id="rId12" w:history="1">
        <w:r w:rsidR="0059190C" w:rsidRPr="00C85D7A">
          <w:rPr>
            <w:rStyle w:val="Hyperlink"/>
            <w:rFonts w:ascii="Arial" w:hAnsi="Arial" w:cs="Arial"/>
            <w:sz w:val="22"/>
            <w:szCs w:val="22"/>
            <w:lang w:val="en-GB"/>
          </w:rPr>
          <w:t>www.thegreyroad.surgery.co.uk</w:t>
        </w:r>
      </w:hyperlink>
    </w:p>
    <w:sectPr w:rsidR="004F326B" w:rsidRPr="008A3557" w:rsidSect="008C378E">
      <w:headerReference w:type="even" r:id="rId13"/>
      <w:headerReference w:type="default" r:id="rId14"/>
      <w:headerReference w:type="first" r:id="rId15"/>
      <w:pgSz w:w="11906" w:h="16838"/>
      <w:pgMar w:top="567" w:right="720" w:bottom="284" w:left="720" w:header="709" w:footer="3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1F1457" w:rsidRDefault="00D224FC" w:rsidP="001F1457">
    <w:pPr>
      <w:pStyle w:val="Header"/>
      <w:jc w:val="both"/>
    </w:pPr>
    <w:r>
      <w:rPr>
        <w:noProof/>
        <w:lang w:val="en-GB" w:eastAsia="en-GB"/>
      </w:rPr>
      <w:drawing>
        <wp:inline distT="0" distB="0" distL="0" distR="0" wp14:anchorId="2DB4DF78" wp14:editId="0EEDD045">
          <wp:extent cx="50482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04825" cy="409575"/>
                  </a:xfrm>
                  <a:prstGeom prst="rect">
                    <a:avLst/>
                  </a:prstGeom>
                  <a:noFill/>
                  <a:ln>
                    <a:noFill/>
                  </a:ln>
                </pic:spPr>
              </pic:pic>
            </a:graphicData>
          </a:graphic>
        </wp:inline>
      </w:drawing>
    </w:r>
    <w:r>
      <w:rPr>
        <w:rFonts w:ascii="Stencil" w:hAnsi="Stencil" w:cs="Stencil"/>
        <w:sz w:val="52"/>
        <w:szCs w:val="52"/>
      </w:rPr>
      <w:t xml:space="preserve">  </w:t>
    </w:r>
    <w:r w:rsidRPr="00D224FC">
      <w:rPr>
        <w:rFonts w:ascii="Arial Rounded MT Bold" w:hAnsi="Arial Rounded MT Bold" w:cs="Stencil"/>
        <w:sz w:val="40"/>
        <w:szCs w:val="40"/>
      </w:rPr>
      <w:t>THE GREY ROAD SURGERY</w:t>
    </w:r>
    <w:r>
      <w:rPr>
        <w:noProof/>
        <w:lang w:val="en-GB" w:eastAsia="en-GB"/>
      </w:rPr>
      <w:t xml:space="preserve"> </w:t>
    </w:r>
    <w:r w:rsidR="00C36A17">
      <w:rPr>
        <w:noProof/>
        <w:lang w:val="en-GB" w:eastAsia="en-GB"/>
      </w:rPr>
      <w:drawing>
        <wp:anchor distT="0" distB="0" distL="114300" distR="114300" simplePos="0" relativeHeight="251658240" behindDoc="0" locked="0" layoutInCell="1" allowOverlap="1" wp14:anchorId="545B9A17" wp14:editId="593358F1">
          <wp:simplePos x="0" y="0"/>
          <wp:positionH relativeFrom="column">
            <wp:posOffset>4365625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1A00C23"/>
    <w:multiLevelType w:val="hybridMultilevel"/>
    <w:tmpl w:val="B1F6D47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5">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3DFD5D83"/>
    <w:multiLevelType w:val="hybridMultilevel"/>
    <w:tmpl w:val="6D782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2">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3">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5">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6">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9">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2">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5">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4"/>
  </w:num>
  <w:num w:numId="3">
    <w:abstractNumId w:val="25"/>
  </w:num>
  <w:num w:numId="4">
    <w:abstractNumId w:val="16"/>
  </w:num>
  <w:num w:numId="5">
    <w:abstractNumId w:val="22"/>
  </w:num>
  <w:num w:numId="6">
    <w:abstractNumId w:val="44"/>
  </w:num>
  <w:num w:numId="7">
    <w:abstractNumId w:val="14"/>
  </w:num>
  <w:num w:numId="8">
    <w:abstractNumId w:val="23"/>
  </w:num>
  <w:num w:numId="9">
    <w:abstractNumId w:val="18"/>
  </w:num>
  <w:num w:numId="10">
    <w:abstractNumId w:val="45"/>
  </w:num>
  <w:num w:numId="11">
    <w:abstractNumId w:val="37"/>
  </w:num>
  <w:num w:numId="12">
    <w:abstractNumId w:val="30"/>
  </w:num>
  <w:num w:numId="13">
    <w:abstractNumId w:val="31"/>
  </w:num>
  <w:num w:numId="14">
    <w:abstractNumId w:val="35"/>
  </w:num>
  <w:num w:numId="15">
    <w:abstractNumId w:val="17"/>
  </w:num>
  <w:num w:numId="16">
    <w:abstractNumId w:val="24"/>
  </w:num>
  <w:num w:numId="17">
    <w:abstractNumId w:val="39"/>
  </w:num>
  <w:num w:numId="18">
    <w:abstractNumId w:val="15"/>
  </w:num>
  <w:num w:numId="19">
    <w:abstractNumId w:val="19"/>
  </w:num>
  <w:num w:numId="20">
    <w:abstractNumId w:val="11"/>
  </w:num>
  <w:num w:numId="21">
    <w:abstractNumId w:val="12"/>
  </w:num>
  <w:num w:numId="22">
    <w:abstractNumId w:val="43"/>
  </w:num>
  <w:num w:numId="23">
    <w:abstractNumId w:val="29"/>
  </w:num>
  <w:num w:numId="24">
    <w:abstractNumId w:val="40"/>
  </w:num>
  <w:num w:numId="25">
    <w:abstractNumId w:val="32"/>
  </w:num>
  <w:num w:numId="26">
    <w:abstractNumId w:val="41"/>
  </w:num>
  <w:num w:numId="27">
    <w:abstractNumId w:val="27"/>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42"/>
  </w:num>
  <w:num w:numId="41">
    <w:abstractNumId w:val="36"/>
  </w:num>
  <w:num w:numId="42">
    <w:abstractNumId w:val="21"/>
  </w:num>
  <w:num w:numId="43">
    <w:abstractNumId w:val="28"/>
  </w:num>
  <w:num w:numId="44">
    <w:abstractNumId w:val="10"/>
  </w:num>
  <w:num w:numId="45">
    <w:abstractNumId w:val="10"/>
    <w:lvlOverride w:ilvl="0">
      <w:startOverride w:val="1"/>
    </w:lvlOverride>
  </w:num>
  <w:num w:numId="46">
    <w:abstractNumId w:val="26"/>
  </w:num>
  <w:num w:numId="4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76DC2"/>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00ED"/>
    <w:rsid w:val="004F326B"/>
    <w:rsid w:val="004F5F05"/>
    <w:rsid w:val="00500AE1"/>
    <w:rsid w:val="00503503"/>
    <w:rsid w:val="005057DE"/>
    <w:rsid w:val="005178EB"/>
    <w:rsid w:val="0059190C"/>
    <w:rsid w:val="005B2E69"/>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113EB"/>
    <w:rsid w:val="0083078B"/>
    <w:rsid w:val="008628F3"/>
    <w:rsid w:val="008669D4"/>
    <w:rsid w:val="00886907"/>
    <w:rsid w:val="0089398F"/>
    <w:rsid w:val="008942FF"/>
    <w:rsid w:val="008A3557"/>
    <w:rsid w:val="008C378E"/>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224FC"/>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hegreyroad.surge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C03641-DD22-4558-AA74-91D96FD2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Howgate Angela</cp:lastModifiedBy>
  <cp:revision>8</cp:revision>
  <cp:lastPrinted>2016-05-10T09:38:00Z</cp:lastPrinted>
  <dcterms:created xsi:type="dcterms:W3CDTF">2016-01-20T09:12:00Z</dcterms:created>
  <dcterms:modified xsi:type="dcterms:W3CDTF">2018-03-13T15:30:00Z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